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Bdr>
          <w:bottom w:val="single" w:sz="14" w:space="4" w:color="1C9EDC"/>
        </w:pBdr>
      </w:pPr>
      <w:r>
        <w:t>vCIO — Virtual Chief Information Officer</w:t>
      </w:r>
    </w:p>
    <w:p>
      <w:pPr>
        <w:spacing w:after="200"/>
      </w:pPr>
      <w:r>
        <w:rPr>
          <w:i/>
          <w:color w:val="6B7684"/>
          <w:sz w:val="20"/>
        </w:rPr>
        <w:t>Securafy Inc. · Job Description</w:t>
      </w:r>
    </w:p>
    <w:p>
      <w:r>
        <w:t>Only local candidates need apply.</w:t>
      </w:r>
    </w:p>
    <w:tbl>
      <w:tblPr>
        <w:tblStyle w:val="TableGrid"/>
        <w:tblW w:type="auto" w:w="0"/>
        <w:jc w:val="center"/>
        <w:tblLayout w:type="autofit"/>
        <w:tblLook w:firstColumn="1" w:firstRow="1" w:lastColumn="0" w:lastRow="0" w:noHBand="0" w:noVBand="1" w:val="04A0"/>
      </w:tblPr>
      <w:tblGrid>
        <w:gridCol w:w="2412"/>
        <w:gridCol w:w="2412"/>
        <w:gridCol w:w="2412"/>
        <w:gridCol w:w="2412"/>
      </w:tblGrid>
      <w:tr>
        <w:tc>
          <w:tcPr>
            <w:tcW w:type="dxa" w:w="2412"/>
            <w:shd w:val="clear" w:color="auto" w:fill="EEF3F9"/>
          </w:tcPr>
          <w:p>
            <w:pPr>
              <w:spacing w:before="40" w:after="40"/>
            </w:pPr>
            <w:r>
              <w:rPr>
                <w:b/>
                <w:color w:val="1F3864"/>
                <w:sz w:val="19"/>
              </w:rPr>
            </w:r>
            <w:r>
              <w:rPr>
                <w:b/>
                <w:color w:val="1F3864"/>
                <w:sz w:val="19"/>
              </w:rPr>
              <w:t>Job Title:</w:t>
            </w:r>
          </w:p>
        </w:tc>
        <w:tc>
          <w:tcPr>
            <w:tcW w:type="dxa" w:w="2412"/>
          </w:tcPr>
          <w:p>
            <w:pPr>
              <w:spacing w:before="40" w:after="40"/>
            </w:pPr>
            <w:r>
              <w:rPr>
                <w:sz w:val="19"/>
              </w:rPr>
            </w:r>
            <w:r>
              <w:rPr>
                <w:sz w:val="19"/>
              </w:rPr>
              <w:t>vCIO (Virtual Chief Information Officer)</w:t>
            </w:r>
          </w:p>
        </w:tc>
        <w:tc>
          <w:tcPr>
            <w:tcW w:type="dxa" w:w="2412"/>
            <w:shd w:val="clear" w:color="auto" w:fill="EEF3F9"/>
          </w:tcPr>
          <w:p>
            <w:pPr>
              <w:spacing w:before="40" w:after="40"/>
            </w:pPr>
            <w:r>
              <w:rPr>
                <w:b/>
                <w:color w:val="1F3864"/>
                <w:sz w:val="19"/>
              </w:rPr>
            </w:r>
            <w:r>
              <w:rPr>
                <w:b/>
                <w:color w:val="1F3864"/>
                <w:sz w:val="19"/>
              </w:rPr>
              <w:t>Compensation:</w:t>
            </w:r>
          </w:p>
        </w:tc>
        <w:tc>
          <w:tcPr>
            <w:tcW w:type="dxa" w:w="2412"/>
          </w:tcPr>
          <w:p>
            <w:pPr>
              <w:spacing w:before="40" w:after="40"/>
            </w:pPr>
            <w:r>
              <w:rPr>
                <w:sz w:val="19"/>
              </w:rPr>
            </w:r>
            <w:r>
              <w:rPr>
                <w:sz w:val="19"/>
              </w:rPr>
              <w:t>Negotiated</w:t>
            </w:r>
          </w:p>
        </w:tc>
      </w:tr>
      <w:tr>
        <w:tc>
          <w:tcPr>
            <w:tcW w:type="dxa" w:w="2412"/>
            <w:shd w:val="clear" w:color="auto" w:fill="EEF3F9"/>
          </w:tcPr>
          <w:p>
            <w:pPr>
              <w:spacing w:before="40" w:after="40"/>
            </w:pPr>
            <w:r>
              <w:rPr>
                <w:b/>
                <w:color w:val="1F3864"/>
                <w:sz w:val="19"/>
              </w:rPr>
            </w:r>
            <w:r>
              <w:rPr>
                <w:b/>
                <w:color w:val="1F3864"/>
                <w:sz w:val="19"/>
              </w:rPr>
              <w:t>Reports to:</w:t>
            </w:r>
          </w:p>
        </w:tc>
        <w:tc>
          <w:tcPr>
            <w:tcW w:type="dxa" w:w="2412"/>
          </w:tcPr>
          <w:p>
            <w:pPr>
              <w:spacing w:before="40" w:after="40"/>
            </w:pPr>
            <w:r>
              <w:rPr>
                <w:sz w:val="19"/>
              </w:rPr>
            </w:r>
            <w:r>
              <w:rPr>
                <w:sz w:val="19"/>
              </w:rPr>
              <w:t>COO</w:t>
            </w:r>
          </w:p>
        </w:tc>
        <w:tc>
          <w:tcPr>
            <w:tcW w:type="dxa" w:w="2412"/>
            <w:shd w:val="clear" w:color="auto" w:fill="EEF3F9"/>
          </w:tcPr>
          <w:p>
            <w:pPr>
              <w:spacing w:before="40" w:after="40"/>
            </w:pPr>
            <w:r>
              <w:rPr>
                <w:b/>
                <w:color w:val="1F3864"/>
                <w:sz w:val="19"/>
              </w:rPr>
            </w:r>
            <w:r>
              <w:rPr>
                <w:b/>
                <w:color w:val="1F3864"/>
                <w:sz w:val="19"/>
              </w:rPr>
              <w:t>Department:</w:t>
            </w:r>
          </w:p>
        </w:tc>
        <w:tc>
          <w:tcPr>
            <w:tcW w:type="dxa" w:w="2412"/>
          </w:tcPr>
          <w:p>
            <w:pPr>
              <w:spacing w:before="40" w:after="40"/>
            </w:pPr>
            <w:r>
              <w:rPr>
                <w:sz w:val="19"/>
              </w:rPr>
            </w:r>
            <w:r>
              <w:rPr>
                <w:sz w:val="19"/>
              </w:rPr>
              <w:t>Technology Success</w:t>
            </w:r>
          </w:p>
        </w:tc>
      </w:tr>
    </w:tbl>
    <w:p/>
    <w:p>
      <w:pPr>
        <w:pStyle w:val="Heading1"/>
      </w:pPr>
      <w:r>
        <w:t>Job Description:</w:t>
      </w:r>
    </w:p>
    <w:p>
      <w:r>
        <w:t xml:space="preserve">The purpose of the vCIO (Virtual Chief Information Officer) position is to own the strategic technology relationship with Securafy's managed-services clients. The vCIO translates the findings produced by the Technology Alignment Manager (TAM) into a business-aligned technology roadmap, multi-year budget, and prioritized recommendations, and delivers them to client decision-makers through recurring </w:t>
      </w:r>
      <w:r>
        <w:rPr>
          <w:b/>
        </w:rPr>
        <w:t>Technology Business Reviews (TBRs)</w:t>
      </w:r>
      <w:r>
        <w:t xml:space="preserve"> — held </w:t>
      </w:r>
      <w:r>
        <w:rPr>
          <w:b/>
        </w:rPr>
        <w:t>monthly for larger clients and quarterly for the rest</w:t>
      </w:r>
      <w:r>
        <w:t xml:space="preserve">. The vCIO is the client's trusted technology advisor and the seat accountable for agreement renewals and for generating non-recurring (project) revenue. </w:t>
      </w:r>
      <w:r>
        <w:rPr>
          <w:b/>
        </w:rPr>
        <w:t>This is NOT an account-management role, and it is NOT a reactive-support or hands-on technical role</w:t>
      </w:r>
      <w:r>
        <w:t xml:space="preserve"> — all support requests route through the Support Desk, and all alignment data-gathering is performed by the TAM. The vCIO operates "from an elevated level," focused on business impact and strategy, not configuration. Success in this role is measured by TBRs held on cadence, managed-services agreements renewed, and non-recurring revenue (NRR) sustained at 20–30% of the client's monthly recurring revenue (MRR).</w:t>
      </w:r>
    </w:p>
    <w:p>
      <w:pPr>
        <w:pStyle w:val="Heading1"/>
      </w:pPr>
      <w:r>
        <w:t>Basic Functions:</w:t>
      </w:r>
    </w:p>
    <w:p>
      <w:pPr>
        <w:pStyle w:val="ListBullet"/>
      </w:pPr>
      <w:r>
        <w:t>Own the strategic business relationship with each assigned client's decision-makers, serving as their primary technology advisor and advocate.</w:t>
      </w:r>
    </w:p>
    <w:p>
      <w:pPr>
        <w:pStyle w:val="ListBullet"/>
      </w:pPr>
      <w:r>
        <w:t xml:space="preserve">Schedule and hold every client's </w:t>
      </w:r>
      <w:r>
        <w:rPr>
          <w:b/>
        </w:rPr>
        <w:t>Technology Business Review (TBR)</w:t>
      </w:r>
      <w:r>
        <w:t xml:space="preserve"> on its committed cadence (monthly for larger clients, quarterly for others); schedule the next TBR one year in advance.</w:t>
      </w:r>
    </w:p>
    <w:p>
      <w:pPr>
        <w:pStyle w:val="ListBullet"/>
      </w:pPr>
      <w:r>
        <w:t>Build and maintain each client's technology roadmap — a 12-month build extending 12–36 months — tied directly to their business goals.</w:t>
      </w:r>
    </w:p>
    <w:p>
      <w:pPr>
        <w:pStyle w:val="ListBullet"/>
      </w:pPr>
      <w:r>
        <w:t>Prepare each client's technology budget 1–3 years in advance, jointly with the decision-maker, to eliminate surprise costs.</w:t>
      </w:r>
    </w:p>
    <w:p>
      <w:pPr>
        <w:pStyle w:val="ListBullet"/>
      </w:pPr>
      <w:r>
        <w:t>Consume the TAM's alignment reviews and translate misaligned standards into prioritized, business-impact recommendations.</w:t>
      </w:r>
    </w:p>
    <w:p>
      <w:pPr>
        <w:pStyle w:val="ListBullet"/>
      </w:pPr>
      <w:r>
        <w:t>Present the Technology Summary at each TBR (findings, recommendations, budget, and alignment score) in plain, non-technical business language.</w:t>
      </w:r>
    </w:p>
    <w:p>
      <w:pPr>
        <w:pStyle w:val="ListBullet"/>
      </w:pPr>
      <w:r>
        <w:t>Route each recommendation to its correct path: normal service, a configuration change, or a scoped project — and hand approved projects to the Design Desk for proposal and to Professional Services for delivery.</w:t>
      </w:r>
    </w:p>
    <w:p>
      <w:pPr>
        <w:pStyle w:val="ListBullet"/>
      </w:pPr>
      <w:r>
        <w:t>Generate and protect non-recurring revenue (NRR) by maintaining a continuous, pre-budgeted project backlog scheduled 1–2 months in advance.</w:t>
      </w:r>
    </w:p>
    <w:p>
      <w:pPr>
        <w:pStyle w:val="ListBullet"/>
      </w:pPr>
      <w:r>
        <w:t>Drive agreement renewals by keeping the strategic relationship strong and demonstrating delivered value at every TBR.</w:t>
      </w:r>
    </w:p>
    <w:p>
      <w:pPr>
        <w:pStyle w:val="ListBullet"/>
      </w:pPr>
      <w:r>
        <w:t>Manage a healthy client portfolio (guideline: ~40 clients / ~$140K MRR per vCIO) without exceeding the seat's capacity, so the role stays proactive.</w:t>
      </w:r>
    </w:p>
    <w:p>
      <w:pPr>
        <w:pStyle w:val="ListBullet"/>
      </w:pPr>
      <w:r>
        <w:t>Track and report the vCIO metrics ("the math"): clients/MRR managed, TBRs scheduled vs. completed, recommendations and proposals presented vs. approved.</w:t>
      </w:r>
    </w:p>
    <w:p>
      <w:pPr>
        <w:pStyle w:val="Heading1"/>
      </w:pPr>
      <w:r>
        <w:t>Additional Duties and Responsibilities:</w:t>
      </w:r>
    </w:p>
    <w:p>
      <w:pPr>
        <w:pStyle w:val="ListBullet"/>
      </w:pPr>
      <w:r>
        <w:t>Meet with the Technology Alignment Manager before and after each onsite visit to align on findings and form consensus on recommendations.</w:t>
      </w:r>
    </w:p>
    <w:p>
      <w:pPr>
        <w:pStyle w:val="ListBullet"/>
      </w:pPr>
      <w:r>
        <w:t>Collaborate with the Design Desk to convert approved recommendations into accurate, scoped proposals; the vCIO owns the client decision, the Design Desk owns proposal assembly.</w:t>
      </w:r>
    </w:p>
    <w:p>
      <w:pPr>
        <w:pStyle w:val="ListBullet"/>
      </w:pPr>
      <w:r>
        <w:t>Educate clients on "the Securafy way" — the value of the alignment process, the TBR cadence, and treating technology as a competitive advantage.</w:t>
      </w:r>
    </w:p>
    <w:p>
      <w:pPr>
        <w:pStyle w:val="ListBullet"/>
      </w:pPr>
      <w:r>
        <w:t>Send a concise, bullet-point follow-up email to the decision-maker after each TBR documenting what was discussed, what was approved, and what the vCIO will oversee.</w:t>
      </w:r>
    </w:p>
    <w:p>
      <w:pPr>
        <w:pStyle w:val="ListBullet"/>
      </w:pPr>
      <w:r>
        <w:t>Maintain awareness of each client's business strategy and goals; prepare the focus list for the next TBR based on what was learned.</w:t>
      </w:r>
    </w:p>
    <w:p>
      <w:pPr>
        <w:pStyle w:val="ListBullet"/>
      </w:pPr>
      <w:r>
        <w:t>Serve as the escalation advocate for service-delivery issues affecting assigned clients, without becoming a direct-line support resource.</w:t>
      </w:r>
    </w:p>
    <w:p>
      <w:pPr>
        <w:pStyle w:val="ListBullet"/>
      </w:pPr>
      <w:r>
        <w:t>Responsible for entering time and expenses in AutoTask as they occur.</w:t>
      </w:r>
    </w:p>
    <w:p>
      <w:pPr>
        <w:pStyle w:val="ListBullet"/>
      </w:pPr>
      <w:r>
        <w:t>Understand processes in AutoTask by completing assigned training materials and blueprints on the AutoTask University.</w:t>
      </w:r>
    </w:p>
    <w:p>
      <w:pPr>
        <w:pStyle w:val="ListBullet"/>
      </w:pPr>
      <w:r>
        <w:t>Enter all work as activities or service tickets in AutoTask.</w:t>
      </w:r>
    </w:p>
    <w:p>
      <w:pPr>
        <w:pStyle w:val="ListBullet"/>
      </w:pPr>
      <w:r>
        <w:t>Develop in-depth knowledge of the service catalog and how it relates to each client's needs.</w:t>
      </w:r>
    </w:p>
    <w:p>
      <w:pPr>
        <w:pStyle w:val="Heading1"/>
      </w:pPr>
      <w:r>
        <w:t>Knowledge, Skills, and/or Abilities Required:</w:t>
      </w:r>
    </w:p>
    <w:p>
      <w: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pPr>
        <w:pStyle w:val="ListBullet"/>
      </w:pPr>
      <w:r>
        <w:t>Strong business and financial acumen — budgeting, multi-year planning, and framing technology spend in terms of business outcomes and ROI.</w:t>
      </w:r>
    </w:p>
    <w:p>
      <w:pPr>
        <w:pStyle w:val="ListBullet"/>
      </w:pPr>
      <w:r>
        <w:t>Ability to translate technical findings into clear, non-technical business language for decision-makers and business owners.</w:t>
      </w:r>
    </w:p>
    <w:p>
      <w:pPr>
        <w:pStyle w:val="ListBullet"/>
      </w:pPr>
      <w:r>
        <w:t>Executive-level relationship and consultative-advisory skills; comfortable leading meetings with owners and C-level stakeholders.</w:t>
      </w:r>
    </w:p>
    <w:p>
      <w:pPr>
        <w:pStyle w:val="ListBullet"/>
      </w:pPr>
      <w:r>
        <w:t>A technical background sufficient to understand risk and business impact, while operating at an elevated (non-hands-on) level.</w:t>
      </w:r>
    </w:p>
    <w:p>
      <w:pPr>
        <w:pStyle w:val="ListBullet"/>
      </w:pPr>
      <w:r>
        <w:t>Discipline to enforce the TBR cadence and defend the boundary between strategic advisory and reactive support.</w:t>
      </w:r>
    </w:p>
    <w:p>
      <w:pPr>
        <w:pStyle w:val="ListBullet"/>
      </w:pPr>
      <w:r>
        <w:t>Comfort tracking and living by metrics in the PSA; a repeatable, consistent process applied across all clients.</w:t>
      </w:r>
    </w:p>
    <w:p>
      <w:pPr>
        <w:pStyle w:val="ListBullet"/>
      </w:pPr>
      <w:r>
        <w:t>Interpersonal skills such as telephony skills, communication skills, active listening, and customer care.</w:t>
      </w:r>
    </w:p>
    <w:p>
      <w:pPr>
        <w:pStyle w:val="ListBullet"/>
      </w:pPr>
      <w:r>
        <w:t>Ability to multi-task and adapt to changes quickly.</w:t>
      </w:r>
    </w:p>
    <w:p>
      <w:pPr>
        <w:pStyle w:val="ListBullet"/>
      </w:pPr>
      <w:r>
        <w:t>Self-motivated with the ability to work in a fast-moving environment.</w:t>
      </w:r>
    </w:p>
    <w:p>
      <w:pPr>
        <w:pStyle w:val="Heading1"/>
      </w:pPr>
      <w:r>
        <w:t>Educational/Vocational/Previous Experience Recommendations:</w:t>
      </w:r>
    </w:p>
    <w:p>
      <w:pPr>
        <w:pStyle w:val="ListBullet"/>
      </w:pPr>
      <w:r>
        <w:t>BA/BS, preferably in business, information technology, or a related field.</w:t>
      </w:r>
    </w:p>
    <w:p>
      <w:pPr>
        <w:pStyle w:val="ListBullet"/>
      </w:pPr>
      <w:r>
        <w:t>Five or more years of MSP/IT experience, including client-facing technology strategy, account leadership, or vCIO/consulting work.</w:t>
      </w:r>
    </w:p>
    <w:p>
      <w:pPr>
        <w:pStyle w:val="ListBullet"/>
      </w:pPr>
      <w:r>
        <w:t>Familiarity with a technology-alignment/vCIO operating model and with PSA/RMM tooling preferred.</w:t>
      </w:r>
    </w:p>
    <w:p>
      <w:pPr>
        <w:pStyle w:val="Heading1"/>
      </w:pPr>
      <w:r>
        <w:t>Benefits:</w:t>
      </w:r>
    </w:p>
    <w:p>
      <w:pPr>
        <w:pStyle w:val="ListBullet"/>
      </w:pPr>
      <w:r>
        <w:t>Competitive salary based on experience and qualifications.</w:t>
      </w:r>
    </w:p>
    <w:p>
      <w:pPr>
        <w:pStyle w:val="ListBullet"/>
      </w:pPr>
      <w:r>
        <w:t>Healthcare, dental, and vision coverage paid at 75% for the employee and dependents.</w:t>
      </w:r>
    </w:p>
    <w:p>
      <w:pPr>
        <w:pStyle w:val="ListBullet"/>
      </w:pPr>
      <w:r>
        <w:t>Generous bonus levels and performance-based incentives tied to NRR and renewals.</w:t>
      </w:r>
    </w:p>
    <w:p>
      <w:pPr>
        <w:pStyle w:val="ListBullet"/>
      </w:pPr>
      <w:r>
        <w:t>Full on the job training &amp; support.</w:t>
      </w:r>
    </w:p>
    <w:p>
      <w:pPr>
        <w:pStyle w:val="ListBullet"/>
      </w:pPr>
      <w:r>
        <w:t>Fantastic opportunity for advancement.</w:t>
      </w:r>
    </w:p>
    <w:p>
      <w:pPr>
        <w:pStyle w:val="Heading1"/>
      </w:pPr>
      <w:r>
        <w:t>Key Performance Indicators:</w:t>
      </w:r>
    </w:p>
    <w:p>
      <w:pPr>
        <w:pStyle w:val="ListBullet"/>
      </w:pPr>
      <w:r>
        <w:t>Your ability to hold every client's Technology Business Review on its committed cadence — TBRs scheduled vs. completed (monthly for larger clients, quarterly for the rest).</w:t>
      </w:r>
    </w:p>
    <w:p>
      <w:pPr>
        <w:pStyle w:val="ListBullet"/>
      </w:pPr>
      <w:r>
        <w:t>Your ability to sustain non-recurring revenue at 20–30% of each client's MRR.</w:t>
      </w:r>
    </w:p>
    <w:p>
      <w:pPr>
        <w:pStyle w:val="ListBullet"/>
      </w:pPr>
      <w:r>
        <w:t>Your recommendation and proposal approval ratio — a low ratio signals standards misalignment and increased reactive load.</w:t>
      </w:r>
    </w:p>
    <w:p>
      <w:pPr>
        <w:pStyle w:val="ListBullet"/>
      </w:pPr>
      <w:r>
        <w:t>Your managed-services agreement renewal rate across your client portfolio.</w:t>
      </w:r>
    </w:p>
    <w:p>
      <w:pPr>
        <w:pStyle w:val="ListBullet"/>
      </w:pPr>
      <w:r>
        <w:t>The health and growth of the MRR in the book of business you manage.</w:t>
      </w:r>
    </w:p>
    <w:p>
      <w:pPr>
        <w:pStyle w:val="ListBullet"/>
      </w:pPr>
      <w:r>
        <w:t>The clarity and accuracy of your Technology Summaries and client communications.</w:t>
      </w:r>
    </w:p>
    <w:p>
      <w:r>
        <w:t>The statements above are intended to describe the general nature and level of work being performed by people assigned to this job. Other duties may be assigned as needed.</w:t>
      </w:r>
    </w:p>
    <w:sectPr w:rsidR="00FC693F" w:rsidRPr="0006063C" w:rsidSect="00034616">
      <w:headerReference w:type="default" r:id="rId9"/>
      <w:footerReference w:type="default" r:id="rId10"/>
      <w:pgSz w:w="12240" w:h="15840"/>
      <w:pgMar w:top="1080" w:right="1296" w:bottom="1152" w:left="1296" w:header="504"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48" w:val="right"/>
      </w:tabs>
      <w:pBdr>
        <w:top w:val="single" w:sz="6" w:space="4" w:color="D6DCE5"/>
      </w:pBdr>
    </w:pPr>
    <w:r>
      <w:rPr>
        <w:color w:val="6B7684"/>
        <w:sz w:val="16"/>
      </w:rPr>
      <w:t>Securafy Inc.  ·  Confidential</w:t>
    </w:r>
    <w:r>
      <w:rPr>
        <w:color w:val="6B7684"/>
        <w:sz w:val="16"/>
      </w:rPr>
      <w:tab/>
      <w:t xml:space="preserve">Page </w:t>
    </w:r>
    <w:r>
      <w:rPr>
        <w:color w:val="6B7684"/>
        <w:sz w:val="16"/>
      </w:rPr>
      <w:fldChar w:fldCharType="begin"/>
    </w:r>
    <w:r>
      <w:rPr>
        <w:color w:val="6B7684"/>
        <w:sz w:val="16"/>
      </w:rPr>
      <w:instrText xml:space="preserve">PAGE</w:instrText>
    </w:r>
    <w:r>
      <w:rPr>
        <w:color w:val="6B7684"/>
        <w:sz w:val="16"/>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648" w:val="right"/>
      </w:tabs>
      <w:spacing w:after="80"/>
      <w:jc w:val="left"/>
      <w:pBdr>
        <w:bottom w:val="single" w:sz="12" w:space="4" w:color="1F3864"/>
      </w:pBdr>
    </w:pPr>
    <w:r>
      <w:drawing>
        <wp:inline xmlns:a="http://schemas.openxmlformats.org/drawingml/2006/main" xmlns:pic="http://schemas.openxmlformats.org/drawingml/2006/picture">
          <wp:extent cx="1371600" cy="371061"/>
          <wp:docPr id="1" name="Picture 1"/>
          <wp:cNvGraphicFramePr>
            <a:graphicFrameLocks noChangeAspect="1"/>
          </wp:cNvGraphicFramePr>
          <a:graphic>
            <a:graphicData uri="http://schemas.openxmlformats.org/drawingml/2006/picture">
              <pic:pic>
                <pic:nvPicPr>
                  <pic:cNvPr id="0" name="Securafy Logo on White 200x60.png"/>
                  <pic:cNvPicPr/>
                </pic:nvPicPr>
                <pic:blipFill>
                  <a:blip r:embed="rId1"/>
                  <a:stretch>
                    <a:fillRect/>
                  </a:stretch>
                </pic:blipFill>
                <pic:spPr>
                  <a:xfrm>
                    <a:off x="0" y="0"/>
                    <a:ext cx="1371600" cy="371061"/>
                  </a:xfrm>
                  <a:prstGeom prst="rect"/>
                </pic:spPr>
              </pic:pic>
            </a:graphicData>
          </a:graphic>
        </wp:inline>
      </w:drawing>
    </w:r>
    <w:r>
      <w:rPr>
        <w:b/>
        <w:color w:val="6B7684"/>
        <w:sz w:val="15"/>
      </w:rPr>
      <w:tab/>
      <w:t>VCIO — VIRTUAL CHIEF INFORMATION OFFICER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4" w:lineRule="auto"/>
    </w:pPr>
    <w:rPr>
      <w:rFonts w:ascii="Calibri" w:hAnsi="Calibri"/>
      <w:color w:val="16202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F3864"/>
      <w:sz w:val="30"/>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ascii="Calibri" w:hAnsi="Calibri"/>
      <w:b/>
      <w:bCs/>
      <w:color w:val="1F3864"/>
      <w:sz w:val="25"/>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b/>
      <w:bCs/>
      <w:color w:val="1F386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80" w:line="240" w:lineRule="auto" w:before="0"/>
      <w:contextualSpacing/>
    </w:pPr>
    <w:rPr>
      <w:rFonts w:asciiTheme="majorHAnsi" w:eastAsiaTheme="majorEastAsia" w:hAnsiTheme="majorHAnsi" w:cstheme="majorBidi" w:ascii="Calibri" w:hAnsi="Calibri"/>
      <w:b/>
      <w:color w:val="1F3864"/>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