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4" w:space="4" w:color="1C9EDC"/>
        </w:pBdr>
      </w:pPr>
      <w:r>
        <w:t>Design Desk Engineer</w:t>
      </w:r>
    </w:p>
    <w:p>
      <w:pPr>
        <w:spacing w:after="200"/>
      </w:pPr>
      <w:r>
        <w:rPr>
          <w:i/>
          <w:color w:val="6B7684"/>
          <w:sz w:val="20"/>
        </w:rPr>
        <w:t>Securafy Inc. · Job Description</w:t>
      </w:r>
    </w:p>
    <w:tbl>
      <w:tblPr>
        <w:tblStyle w:val="TableGrid"/>
        <w:tblW w:type="auto" w:w="0"/>
        <w:jc w:val="center"/>
        <w:tblLayout w:type="autofit"/>
        <w:tblLook w:firstColumn="1" w:firstRow="1" w:lastColumn="0" w:lastRow="0" w:noHBand="0" w:noVBand="1" w:val="04A0"/>
      </w:tblPr>
      <w:tblGrid>
        <w:gridCol w:w="2412"/>
        <w:gridCol w:w="2412"/>
        <w:gridCol w:w="2412"/>
        <w:gridCol w:w="2412"/>
      </w:tblGrid>
      <w:tr>
        <w:tc>
          <w:tcPr>
            <w:tcW w:type="dxa" w:w="2412"/>
            <w:shd w:val="clear" w:color="auto" w:fill="EEF3F9"/>
          </w:tcPr>
          <w:p>
            <w:pPr>
              <w:spacing w:before="40" w:after="40"/>
            </w:pPr>
            <w:r>
              <w:rPr>
                <w:b/>
                <w:color w:val="1F3864"/>
                <w:sz w:val="19"/>
              </w:rPr>
            </w:r>
            <w:r>
              <w:rPr>
                <w:b/>
                <w:color w:val="1F3864"/>
                <w:sz w:val="19"/>
              </w:rPr>
              <w:t>Job Title:</w:t>
            </w:r>
          </w:p>
        </w:tc>
        <w:tc>
          <w:tcPr>
            <w:tcW w:type="dxa" w:w="2412"/>
          </w:tcPr>
          <w:p>
            <w:pPr>
              <w:spacing w:before="40" w:after="40"/>
            </w:pPr>
            <w:r>
              <w:rPr>
                <w:sz w:val="19"/>
              </w:rPr>
            </w:r>
            <w:r>
              <w:rPr>
                <w:sz w:val="19"/>
              </w:rPr>
              <w:t>Design Desk Engineer</w:t>
            </w:r>
          </w:p>
        </w:tc>
        <w:tc>
          <w:tcPr>
            <w:tcW w:type="dxa" w:w="2412"/>
            <w:shd w:val="clear" w:color="auto" w:fill="EEF3F9"/>
          </w:tcPr>
          <w:p>
            <w:pPr>
              <w:spacing w:before="40" w:after="40"/>
            </w:pPr>
            <w:r>
              <w:rPr>
                <w:b/>
                <w:color w:val="1F3864"/>
                <w:sz w:val="19"/>
              </w:rPr>
            </w:r>
            <w:r>
              <w:rPr>
                <w:b/>
                <w:color w:val="1F3864"/>
                <w:sz w:val="19"/>
              </w:rPr>
              <w:t>Compensation:</w:t>
            </w:r>
          </w:p>
        </w:tc>
        <w:tc>
          <w:tcPr>
            <w:tcW w:type="dxa" w:w="2412"/>
          </w:tcPr>
          <w:p>
            <w:pPr>
              <w:spacing w:before="40" w:after="40"/>
            </w:pPr>
            <w:r>
              <w:rPr>
                <w:sz w:val="19"/>
              </w:rPr>
            </w:r>
            <w:r>
              <w:rPr>
                <w:sz w:val="19"/>
              </w:rPr>
              <w:t>Negotiated</w:t>
            </w:r>
          </w:p>
        </w:tc>
      </w:tr>
      <w:tr>
        <w:tc>
          <w:tcPr>
            <w:tcW w:type="dxa" w:w="2412"/>
            <w:shd w:val="clear" w:color="auto" w:fill="EEF3F9"/>
          </w:tcPr>
          <w:p>
            <w:pPr>
              <w:spacing w:before="40" w:after="40"/>
            </w:pPr>
            <w:r>
              <w:rPr>
                <w:b/>
                <w:color w:val="1F3864"/>
                <w:sz w:val="19"/>
              </w:rPr>
            </w:r>
            <w:r>
              <w:rPr>
                <w:b/>
                <w:color w:val="1F3864"/>
                <w:sz w:val="19"/>
              </w:rPr>
              <w:t>Reports to:</w:t>
            </w:r>
          </w:p>
        </w:tc>
        <w:tc>
          <w:tcPr>
            <w:tcW w:type="dxa" w:w="2412"/>
          </w:tcPr>
          <w:p>
            <w:pPr>
              <w:spacing w:before="40" w:after="40"/>
            </w:pPr>
            <w:r>
              <w:rPr>
                <w:sz w:val="19"/>
              </w:rPr>
            </w:r>
            <w:r>
              <w:rPr>
                <w:sz w:val="19"/>
              </w:rPr>
              <w:t>COO</w:t>
            </w:r>
          </w:p>
        </w:tc>
        <w:tc>
          <w:tcPr>
            <w:tcW w:type="dxa" w:w="2412"/>
            <w:shd w:val="clear" w:color="auto" w:fill="EEF3F9"/>
          </w:tcPr>
          <w:p>
            <w:pPr>
              <w:spacing w:before="40" w:after="40"/>
            </w:pPr>
            <w:r>
              <w:rPr>
                <w:b/>
                <w:color w:val="1F3864"/>
                <w:sz w:val="19"/>
              </w:rPr>
            </w:r>
            <w:r>
              <w:rPr>
                <w:b/>
                <w:color w:val="1F3864"/>
                <w:sz w:val="19"/>
              </w:rPr>
              <w:t>Department:</w:t>
            </w:r>
          </w:p>
        </w:tc>
        <w:tc>
          <w:tcPr>
            <w:tcW w:type="dxa" w:w="2412"/>
          </w:tcPr>
          <w:p>
            <w:pPr>
              <w:spacing w:before="40" w:after="40"/>
            </w:pPr>
            <w:r>
              <w:rPr>
                <w:sz w:val="19"/>
              </w:rPr>
            </w:r>
            <w:r>
              <w:rPr>
                <w:sz w:val="19"/>
              </w:rPr>
              <w:t>Service Delivery</w:t>
            </w:r>
          </w:p>
        </w:tc>
      </w:tr>
    </w:tbl>
    <w:p/>
    <w:p>
      <w:pPr>
        <w:pStyle w:val="Heading1"/>
      </w:pPr>
      <w:r>
        <w:t>Job Description:</w:t>
      </w:r>
    </w:p>
    <w:p>
      <w:r>
        <w:t xml:space="preserve">The purpose of the Design Desk Engineer position is to support the vCIO by turning approved client recommendations into researched, scoped, and accurately priced project proposals — ensuring the promises made during a Technology Business Review actually get delivered. The Design Desk determines the required materials, the cost of parts and labor, and the total implementation time, and serves as Securafy's central procurement and vendor-ordering point of contact. </w:t>
      </w:r>
      <w:r>
        <w:rPr>
          <w:b/>
        </w:rPr>
        <w:t>This is NOT a sales role</w:t>
      </w:r>
      <w:r>
        <w:t xml:space="preserve"> (a sales mentality reduces client trust; sales stays focused on MRR), it is </w:t>
      </w:r>
      <w:r>
        <w:rPr>
          <w:b/>
        </w:rPr>
        <w:t>NOT the vCIO</w:t>
      </w:r>
      <w:r>
        <w:t xml:space="preserve"> (whose focus is the client relationship and strategy), and it is </w:t>
      </w:r>
      <w:r>
        <w:rPr>
          <w:b/>
        </w:rPr>
        <w:t>NOT a billable project engineer</w:t>
      </w:r>
      <w:r>
        <w:t xml:space="preserve"> (whose time must stay committed to delivery). Success is measured by accurate, timely proposals that hit the non-recurring revenue target and a healthy backlog of billable work for Professional Services. This role is fully remote.</w:t>
      </w:r>
    </w:p>
    <w:p>
      <w:pPr>
        <w:pStyle w:val="Heading1"/>
      </w:pPr>
      <w:r>
        <w:t>Basic Functions:</w:t>
      </w:r>
    </w:p>
    <w:p>
      <w:pPr>
        <w:pStyle w:val="ListBullet"/>
      </w:pPr>
      <w:r>
        <w:t>Research, plan, and write project proposals from the vCIO's approved recommendations.</w:t>
      </w:r>
    </w:p>
    <w:p>
      <w:pPr>
        <w:pStyle w:val="ListBullet"/>
      </w:pPr>
      <w:r>
        <w:t>Produce step-by-step project designs a Professional Services engineer can execute with limited additional information.</w:t>
      </w:r>
    </w:p>
    <w:p>
      <w:pPr>
        <w:pStyle w:val="ListBullet"/>
      </w:pPr>
      <w:r>
        <w:t>Estimate cost accurately — hardware, software, services, and labor — including a 10–20% markup on hardware and all parts billed up front.</w:t>
      </w:r>
    </w:p>
    <w:p>
      <w:pPr>
        <w:pStyle w:val="ListBullet"/>
      </w:pPr>
      <w:r>
        <w:t>Design each proposal to hit the non-recurring revenue (NRR) target of 20–30% of the client's monthly recurring revenue (MRR).</w:t>
      </w:r>
    </w:p>
    <w:p>
      <w:pPr>
        <w:pStyle w:val="ListBullet"/>
      </w:pPr>
      <w:r>
        <w:t>Maintain a backlog of non-recurring revenue for Professional Services so billable work is always available.</w:t>
      </w:r>
    </w:p>
    <w:p>
      <w:pPr>
        <w:pStyle w:val="ListBullet"/>
      </w:pPr>
      <w:r>
        <w:t>Serve as the central procurement / ordering point of contact and own key vendor and distributor relationships.</w:t>
      </w:r>
    </w:p>
    <w:p>
      <w:pPr>
        <w:pStyle w:val="ListBullet"/>
      </w:pPr>
      <w:r>
        <w:t>Estimate implementation time realistically (planning, preparation, installation, closure, and standby support) — avoiding both over- and under-estimation.</w:t>
      </w:r>
    </w:p>
    <w:p>
      <w:pPr>
        <w:pStyle w:val="ListBullet"/>
      </w:pPr>
      <w:r>
        <w:t>Match engineer skill level to project complexity when scoping resources.</w:t>
      </w:r>
    </w:p>
    <w:p>
      <w:pPr>
        <w:pStyle w:val="ListBullet"/>
      </w:pPr>
      <w:r>
        <w:t>Build and maintain reusable proposal templates and standardized configurations to avoid analysis paralysis.</w:t>
      </w:r>
    </w:p>
    <w:p>
      <w:pPr>
        <w:pStyle w:val="ListBullet"/>
      </w:pPr>
      <w:r>
        <w:t>Validate that each proposed solution aligns with the client's 1–3 year budget and business goals.</w:t>
      </w:r>
    </w:p>
    <w:p>
      <w:pPr>
        <w:pStyle w:val="Heading1"/>
      </w:pPr>
      <w:r>
        <w:t>Additional Duties and Responsibilities:</w:t>
      </w:r>
    </w:p>
    <w:p>
      <w:pPr>
        <w:pStyle w:val="ListBullet"/>
      </w:pPr>
      <w:r>
        <w:t>Collaborate closely with the vCIO on proposal priorities and sequencing.</w:t>
      </w:r>
    </w:p>
    <w:p>
      <w:pPr>
        <w:pStyle w:val="ListBullet"/>
      </w:pPr>
      <w:r>
        <w:t>Pull in Professional Services or the TAM for technical input during research when needed.</w:t>
      </w:r>
    </w:p>
    <w:p>
      <w:pPr>
        <w:pStyle w:val="ListBullet"/>
      </w:pPr>
      <w:r>
        <w:t>Block calendar time for proposal creation, minimize interruptions, and avoid overcommitting to delivery dates.</w:t>
      </w:r>
    </w:p>
    <w:p>
      <w:pPr>
        <w:pStyle w:val="ListBullet"/>
      </w:pPr>
      <w:r>
        <w:t>Responsible for entering time and expenses in AutoTask as they occur.</w:t>
      </w:r>
    </w:p>
    <w:p>
      <w:pPr>
        <w:pStyle w:val="ListBullet"/>
      </w:pPr>
      <w:r>
        <w:t>Understand processes in AutoTask by completing assigned training materials and blueprints on the AutoTask University.</w:t>
      </w:r>
    </w:p>
    <w:p>
      <w:pPr>
        <w:pStyle w:val="ListBullet"/>
      </w:pPr>
      <w:r>
        <w:t>Enter all work as activities or service tickets in AutoTask.</w:t>
      </w:r>
    </w:p>
    <w:p>
      <w:pPr>
        <w:pStyle w:val="ListBullet"/>
      </w:pPr>
      <w:r>
        <w:t>Develop in-depth knowledge of the service catalog and how it relates to each client's needs.</w:t>
      </w:r>
    </w:p>
    <w:p>
      <w:pPr>
        <w:pStyle w:val="Heading1"/>
      </w:pPr>
      <w:r>
        <w:t>Knowledge, Skills, and/or Abilities Required:</w:t>
      </w:r>
    </w:p>
    <w:p>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pPr>
        <w:pStyle w:val="ListBullet"/>
      </w:pPr>
      <w:r>
        <w:t>Technical background sufficient to choose the best solutions and understand the client's environment.</w:t>
      </w:r>
    </w:p>
    <w:p>
      <w:pPr>
        <w:pStyle w:val="ListBullet"/>
      </w:pPr>
      <w:r>
        <w:t>Business acumen — able to build a business case and align solutions to budget and goals.</w:t>
      </w:r>
    </w:p>
    <w:p>
      <w:pPr>
        <w:pStyle w:val="ListBullet"/>
      </w:pPr>
      <w:r>
        <w:t>Strong research and planning discipline with excellent time management across multiple simultaneous proposals.</w:t>
      </w:r>
    </w:p>
    <w:p>
      <w:pPr>
        <w:pStyle w:val="ListBullet"/>
      </w:pPr>
      <w:r>
        <w:t>Procurement and vendor-negotiation skills.</w:t>
      </w:r>
    </w:p>
    <w:p>
      <w:pPr>
        <w:pStyle w:val="ListBullet"/>
      </w:pPr>
      <w:r>
        <w:t>Accuracy and attention to detail in cost estimation.</w:t>
      </w:r>
    </w:p>
    <w:p>
      <w:pPr>
        <w:pStyle w:val="ListBullet"/>
      </w:pPr>
      <w:r>
        <w:t>Ability to work in a non-linear way to meet deadlines and complete multiple proposals at once.</w:t>
      </w:r>
    </w:p>
    <w:p>
      <w:pPr>
        <w:pStyle w:val="ListBullet"/>
      </w:pPr>
      <w:r>
        <w:t>Interpersonal skills such as communication skills, active listening, and customer care.</w:t>
      </w:r>
    </w:p>
    <w:p>
      <w:pPr>
        <w:pStyle w:val="ListBullet"/>
      </w:pPr>
      <w:r>
        <w:t>Ability to multi-task and adapt to changes quickly.</w:t>
      </w:r>
    </w:p>
    <w:p>
      <w:pPr>
        <w:pStyle w:val="ListBullet"/>
      </w:pPr>
      <w:r>
        <w:t>Self-motivated with the ability to work in a fast-moving environment.</w:t>
      </w:r>
    </w:p>
    <w:p>
      <w:pPr>
        <w:pStyle w:val="Heading1"/>
      </w:pPr>
      <w:r>
        <w:t>Educational/Vocational/Previous Experience Recommendations:</w:t>
      </w:r>
    </w:p>
    <w:p>
      <w:pPr>
        <w:pStyle w:val="ListBullet"/>
      </w:pPr>
      <w:r>
        <w:t>BA/BS, preferably in a technical field, or equivalent experience.</w:t>
      </w:r>
    </w:p>
    <w:p>
      <w:pPr>
        <w:pStyle w:val="ListBullet"/>
      </w:pPr>
      <w:r>
        <w:t>Three or more years of IT experience with project scoping, solution design, or procurement.</w:t>
      </w:r>
    </w:p>
    <w:p>
      <w:pPr>
        <w:pStyle w:val="Heading1"/>
      </w:pPr>
      <w:r>
        <w:t>Benefits:</w:t>
      </w:r>
    </w:p>
    <w:p>
      <w:pPr>
        <w:pStyle w:val="ListBullet"/>
      </w:pPr>
      <w:r>
        <w:t>Competitive salary based on experience and qualifications.</w:t>
      </w:r>
    </w:p>
    <w:p>
      <w:pPr>
        <w:pStyle w:val="ListBullet"/>
      </w:pPr>
      <w:r>
        <w:t>Healthcare, dental, and vision coverage paid at 75% for the employee and dependents.</w:t>
      </w:r>
    </w:p>
    <w:p>
      <w:pPr>
        <w:pStyle w:val="ListBullet"/>
      </w:pPr>
      <w:r>
        <w:t>Generous bonus levels and performance-based incentives.</w:t>
      </w:r>
    </w:p>
    <w:p>
      <w:pPr>
        <w:pStyle w:val="ListBullet"/>
      </w:pPr>
      <w:r>
        <w:t>Full on the job training &amp; support.</w:t>
      </w:r>
    </w:p>
    <w:p>
      <w:pPr>
        <w:pStyle w:val="ListBullet"/>
      </w:pPr>
      <w:r>
        <w:t>Fantastic opportunity for advancement.</w:t>
      </w:r>
    </w:p>
    <w:p>
      <w:pPr>
        <w:pStyle w:val="ListBullet"/>
      </w:pPr>
      <w:r>
        <w:t>13th-month bonus (Filipino staff only).</w:t>
      </w:r>
    </w:p>
    <w:p>
      <w:pPr>
        <w:pStyle w:val="Heading1"/>
      </w:pPr>
      <w:r>
        <w:t>Key Performance Indicators:</w:t>
      </w:r>
    </w:p>
    <w:p>
      <w:pPr>
        <w:pStyle w:val="ListBullet"/>
      </w:pPr>
      <w:r>
        <w:t>Your ability to design proposals that hit the 20–30%-of-MRR non-recurring revenue target.</w:t>
      </w:r>
    </w:p>
    <w:p>
      <w:pPr>
        <w:pStyle w:val="ListBullet"/>
      </w:pPr>
      <w:r>
        <w:t>The accuracy of your cost and time estimates versus actual project results.</w:t>
      </w:r>
    </w:p>
    <w:p>
      <w:pPr>
        <w:pStyle w:val="ListBullet"/>
      </w:pPr>
      <w:r>
        <w:t>Proposal turnaround time and avoidance of bottlenecks.</w:t>
      </w:r>
    </w:p>
    <w:p>
      <w:pPr>
        <w:pStyle w:val="ListBullet"/>
      </w:pPr>
      <w:r>
        <w:t>The health of the non-recurring revenue backlog available to Professional Services.</w:t>
      </w:r>
    </w:p>
    <w:p>
      <w:r>
        <w:t>The statements above are intended to describe the general nature and level of work being performed by people assigned to this job. Other duties may be assigned as needed.</w:t>
      </w:r>
    </w:p>
    <w:sectPr w:rsidR="00FC693F" w:rsidRPr="0006063C" w:rsidSect="00034616">
      <w:headerReference w:type="default" r:id="rId9"/>
      <w:footerReference w:type="default" r:id="rId10"/>
      <w:pgSz w:w="12240" w:h="15840"/>
      <w:pgMar w:top="1080" w:right="1296" w:bottom="1152" w:left="1296" w:header="504"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48" w:val="right"/>
      </w:tabs>
      <w:pBdr>
        <w:top w:val="single" w:sz="6" w:space="4" w:color="D6DCE5"/>
      </w:pBdr>
    </w:pPr>
    <w:r>
      <w:rPr>
        <w:color w:val="6B7684"/>
        <w:sz w:val="16"/>
      </w:rPr>
      <w:t>Securafy Inc.  ·  Confidential</w:t>
    </w:r>
    <w:r>
      <w:rPr>
        <w:color w:val="6B7684"/>
        <w:sz w:val="16"/>
      </w:rPr>
      <w:tab/>
      <w:t xml:space="preserve">Page </w:t>
    </w:r>
    <w:r>
      <w:rPr>
        <w:color w:val="6B7684"/>
        <w:sz w:val="16"/>
      </w:rPr>
      <w:fldChar w:fldCharType="begin"/>
    </w:r>
    <w:r>
      <w:rPr>
        <w:color w:val="6B7684"/>
        <w:sz w:val="16"/>
      </w:rPr>
      <w:instrText xml:space="preserve">PAGE</w:instrText>
    </w:r>
    <w:r>
      <w:rPr>
        <w:color w:val="6B7684"/>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48" w:val="right"/>
      </w:tabs>
      <w:spacing w:after="80"/>
      <w:jc w:val="left"/>
      <w:pBdr>
        <w:bottom w:val="single" w:sz="12" w:space="4" w:color="1F3864"/>
      </w:pBdr>
    </w:pPr>
    <w:r>
      <w:drawing>
        <wp:inline xmlns:a="http://schemas.openxmlformats.org/drawingml/2006/main" xmlns:pic="http://schemas.openxmlformats.org/drawingml/2006/picture">
          <wp:extent cx="1371600" cy="371061"/>
          <wp:docPr id="1" name="Picture 1"/>
          <wp:cNvGraphicFramePr>
            <a:graphicFrameLocks noChangeAspect="1"/>
          </wp:cNvGraphicFramePr>
          <a:graphic>
            <a:graphicData uri="http://schemas.openxmlformats.org/drawingml/2006/picture">
              <pic:pic>
                <pic:nvPicPr>
                  <pic:cNvPr id="0" name="Securafy Logo on White 200x60.png"/>
                  <pic:cNvPicPr/>
                </pic:nvPicPr>
                <pic:blipFill>
                  <a:blip r:embed="rId1"/>
                  <a:stretch>
                    <a:fillRect/>
                  </a:stretch>
                </pic:blipFill>
                <pic:spPr>
                  <a:xfrm>
                    <a:off x="0" y="0"/>
                    <a:ext cx="1371600" cy="371061"/>
                  </a:xfrm>
                  <a:prstGeom prst="rect"/>
                </pic:spPr>
              </pic:pic>
            </a:graphicData>
          </a:graphic>
        </wp:inline>
      </w:drawing>
    </w:r>
    <w:r>
      <w:rPr>
        <w:b/>
        <w:color w:val="6B7684"/>
        <w:sz w:val="15"/>
      </w:rPr>
      <w:tab/>
      <w:t>DESIGN DESK ENGINEER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4" w:lineRule="auto"/>
    </w:pPr>
    <w:rPr>
      <w:rFonts w:ascii="Calibri" w:hAnsi="Calibri"/>
      <w:color w:val="1620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F386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1F386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