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pBdr>
          <w:bottom w:val="single" w:sz="14" w:space="4" w:color="1C9EDC"/>
        </w:pBdr>
      </w:pPr>
      <w:r>
        <w:t>BDR Quota &amp; Activity — Benchmark Analysis</w:t>
      </w:r>
    </w:p>
    <w:p>
      <w:r>
        <w:rPr>
          <w:b/>
        </w:rPr>
        <w:t>Validating the TruPeer guidance against Securafy's own documents and industry data · July 2026</w:t>
      </w:r>
    </w:p>
    <w:p>
      <w:pPr>
        <w:pStyle w:val="Heading1"/>
      </w:pPr>
      <w:r>
        <w:t>The question</w:t>
      </w:r>
    </w:p>
    <w:p>
      <w:r>
        <w:t xml:space="preserve">TruPeer's accountability group says a new BDR should have a </w:t>
      </w:r>
      <w:r>
        <w:rPr>
          <w:b/>
        </w:rPr>
        <w:t>90-day ramp</w:t>
      </w:r>
      <w:r>
        <w:t xml:space="preserve">, produce </w:t>
      </w:r>
      <w:r>
        <w:rPr>
          <w:b/>
        </w:rPr>
        <w:t>$3,000–$5,000 average new MRR per month within 6 months</w:t>
      </w:r>
      <w:r>
        <w:t xml:space="preserve">, and </w:t>
      </w:r>
      <w:r>
        <w:rPr>
          <w:b/>
        </w:rPr>
        <w:t>$6,000–$10,000 of new MRR per month after a year</w:t>
      </w:r>
      <w:r>
        <w:t xml:space="preserve"> of experience.</w:t>
      </w:r>
    </w:p>
    <w:p>
      <w:pPr>
        <w:pStyle w:val="Heading1"/>
      </w:pPr>
      <w:r>
        <w:t>The verdict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TruPeer claim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Verdict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Why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90-day ramp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✅ Correct — if read as a ramp to full </w:t>
            </w:r>
            <w:r>
              <w:rPr>
                <w:b/>
                <w:sz w:val="19"/>
              </w:rPr>
              <w:t>activity</w:t>
            </w:r>
            <w:r>
              <w:rPr>
                <w:sz w:val="19"/>
              </w:rPr>
              <w:t xml:space="preserve">, not full </w:t>
            </w:r>
            <w:r>
              <w:rPr>
                <w:b/>
                <w:sz w:val="19"/>
              </w:rPr>
              <w:t>quota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The MSP sales cycle is </w:t>
            </w:r>
            <w:r>
              <w:rPr>
                <w:b/>
                <w:sz w:val="19"/>
              </w:rPr>
              <w:t>90–180 days</w:t>
            </w:r>
            <w:r>
              <w:rPr>
                <w:sz w:val="19"/>
              </w:rPr>
              <w:t>. A rep hired on day 1 physically cannot close inside the first quarter. Industry ramp is 25%/50%/75%/100% of quota over four months; overall B2B ramp has lengthened to ~5.7 months.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$3–5K/mo by 6 months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✅ Reasonable — arguably conservative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Sits at the "good rep" baseline. The only </w:t>
            </w:r>
            <w:r>
              <w:rPr>
                <w:i/>
                <w:sz w:val="19"/>
              </w:rPr>
              <w:t>measured</w:t>
            </w:r>
            <w:r>
              <w:rPr>
                <w:sz w:val="19"/>
              </w:rPr>
              <w:t xml:space="preserve"> per-rep actual found (EarthLink) was ~$4,600/mo.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$6–10K/mo after a year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⚠️ Reasonable but ambitious — </w:t>
            </w:r>
            <w:r>
              <w:rPr>
                <w:b/>
                <w:sz w:val="19"/>
              </w:rPr>
              <w:t>entirely dependent on deal size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At the industry-median ~$2,200 new-client MRR, this demands </w:t>
            </w:r>
            <w:r>
              <w:rPr>
                <w:b/>
                <w:sz w:val="19"/>
              </w:rPr>
              <w:t>3–5 new logos every month (36–60/year)</w:t>
            </w:r>
            <w:r>
              <w:rPr>
                <w:sz w:val="19"/>
              </w:rPr>
              <w:t xml:space="preserve">. The industry yardstick for "growth-oriented" is 24 logos/year, and </w:t>
            </w:r>
            <w:r>
              <w:rPr>
                <w:b/>
                <w:sz w:val="19"/>
              </w:rPr>
              <w:t>the average new MSP rep closes only ~6 deals in their first year.</w:t>
            </w:r>
          </w:p>
        </w:tc>
      </w:tr>
    </w:tbl>
    <w:p/>
    <w:p>
      <w:r>
        <w:rPr>
          <w:b/>
        </w:rPr>
        <w:t>Bottom line:</w:t>
      </w:r>
      <w:r>
        <w:t xml:space="preserve"> the </w:t>
      </w:r>
      <w:r>
        <w:rPr>
          <w:i/>
        </w:rPr>
        <w:t>shape</w:t>
      </w:r>
      <w:r>
        <w:t xml:space="preserve"> of TruPeer's curve is right and their language is precise — note they say "</w:t>
      </w:r>
      <w:r>
        <w:rPr>
          <w:b/>
        </w:rPr>
        <w:t>after a year of experience</w:t>
      </w:r>
      <w:r>
        <w:t xml:space="preserve">," which correctly places $6–10K in </w:t>
      </w:r>
      <w:r>
        <w:rPr>
          <w:b/>
        </w:rPr>
        <w:t>year two</w:t>
      </w:r>
      <w:r>
        <w:t xml:space="preserve">, not year one. The 12-month number is a </w:t>
      </w:r>
      <w:r>
        <w:rPr>
          <w:b/>
        </w:rPr>
        <w:t>strong-performer target, not a floor.</w:t>
      </w:r>
    </w:p>
    <w:p>
      <w:pPr>
        <w:pStyle w:val="Heading1"/>
      </w:pPr>
      <w:r>
        <w:t>What Securafy's own documents already say</w:t>
      </w:r>
    </w:p>
    <w:p>
      <w:r>
        <w:t>Your existing plan is better than you may realize — and it independently lands on the same number.</w:t>
      </w:r>
    </w:p>
    <w:p>
      <w:pPr>
        <w:pStyle w:val="ListBullet"/>
      </w:pPr>
      <w:r>
        <w:rPr>
          <w:b/>
        </w:rPr>
        <w:t>Quota: $6,000 of new MRR per month</w:t>
      </w:r>
      <w:r>
        <w:t xml:space="preserve"> (BDR Compensation Plan; confirmed again in the 60-Day Sales Exec Plan).</w:t>
      </w:r>
    </w:p>
    <w:p>
      <w:pPr>
        <w:pStyle w:val="ListBullet"/>
      </w:pPr>
      <w:r>
        <w:rPr>
          <w:b/>
        </w:rPr>
        <w:t>No quota for the first 90 days</w:t>
      </w:r>
      <w:r>
        <w:t xml:space="preserve">, with a </w:t>
      </w:r>
      <w:r>
        <w:rPr>
          <w:b/>
        </w:rPr>
        <w:t>non-recoverable draw</w:t>
      </w:r>
      <w:r>
        <w:t xml:space="preserve"> guaranteeing quota-equivalent commission during ramp.</w:t>
      </w:r>
    </w:p>
    <w:p>
      <w:pPr>
        <w:pStyle w:val="ListBullet"/>
      </w:pPr>
      <w:r>
        <w:rPr>
          <w:b/>
        </w:rPr>
        <w:t>Commission: 100% of first month's MRR</w:t>
      </w:r>
      <w:r>
        <w:t xml:space="preserve"> (12-month term) scaling to </w:t>
      </w:r>
      <w:r>
        <w:rPr>
          <w:b/>
        </w:rPr>
        <w:t>150%</w:t>
      </w:r>
      <w:r>
        <w:t xml:space="preserve"> (60-month term). Accelerators of </w:t>
      </w:r>
      <w:r>
        <w:rPr>
          <w:b/>
        </w:rPr>
        <w:t>+10% at 150% of quota</w:t>
      </w:r>
      <w:r>
        <w:t xml:space="preserve"> and </w:t>
      </w:r>
      <w:r>
        <w:rPr>
          <w:b/>
        </w:rPr>
        <w:t>+25% at 200%</w:t>
      </w:r>
      <w:r>
        <w:t xml:space="preserve">. No cap. </w:t>
      </w:r>
      <w:r>
        <w:rPr>
          <w:b/>
        </w:rPr>
        <w:t>Zero commission if quota is missed by 50% or more.</w:t>
      </w:r>
      <w:r>
        <w:t xml:space="preserve"> 90-day cancellation chargeback.</w:t>
      </w:r>
    </w:p>
    <w:p>
      <w:pPr>
        <w:pStyle w:val="ListBullet"/>
      </w:pPr>
      <w:r>
        <w:rPr>
          <w:b/>
        </w:rPr>
        <w:t>A complete activity system</w:t>
      </w:r>
      <w:r>
        <w:t xml:space="preserve"> already exists: </w:t>
      </w:r>
      <w:r>
        <w:rPr>
          <w:b/>
        </w:rPr>
        <w:t>50 dials/day</w:t>
      </w:r>
      <w:r>
        <w:t xml:space="preserve"> (25 new + 25 follow-up), 25–50 new companies/day, </w:t>
      </w:r>
      <w:r>
        <w:rPr>
          <w:b/>
        </w:rPr>
        <w:t>1 appointment/day rising to 2/day</w:t>
      </w:r>
      <w:r>
        <w:t xml:space="preserve">, a </w:t>
      </w:r>
      <w:r>
        <w:rPr>
          <w:b/>
        </w:rPr>
        <w:t>25% call-to-face-to-face conversion target</w:t>
      </w:r>
      <w:r>
        <w:t xml:space="preserve">, and a </w:t>
      </w:r>
      <w:r>
        <w:rPr>
          <w:b/>
        </w:rPr>
        <w:t>Prospecting Points System (500/week minimum, 750 goal)</w:t>
      </w:r>
      <w:r>
        <w:t>.</w:t>
      </w:r>
    </w:p>
    <w:p>
      <w:pPr>
        <w:pStyle w:val="ListBullet"/>
      </w:pPr>
      <w:r>
        <w:rPr>
          <w:b/>
        </w:rPr>
        <w:t>An SDR role already defined</w:t>
      </w:r>
      <w:r>
        <w:t xml:space="preserve"> to feed the BDR: 100–150 dials/day and </w:t>
      </w:r>
      <w:r>
        <w:rPr>
          <w:b/>
        </w:rPr>
        <w:t>30 "sat" appointments per month</w:t>
      </w:r>
      <w:r>
        <w:t xml:space="preserve"> (bare minimum 9).</w:t>
      </w:r>
    </w:p>
    <w:p>
      <w:r>
        <w:rPr>
          <w:b/>
        </w:rPr>
        <w:t>The elegant convergence:</w:t>
      </w:r>
      <w:r>
        <w:t xml:space="preserve"> $6,000 ÷ $3,500 average MRR = 1.7 deals/month. At a 20% close ratio that is </w:t>
      </w:r>
      <w:r>
        <w:rPr>
          <w:b/>
        </w:rPr>
        <w:t>≈8.7 first-time appointments per month — about 2 per week.</w:t>
      </w:r>
      <w:r>
        <w:t xml:space="preserve"> Your quota, the TruMethods funnel math, and TruPeer's mature low-end all produce the same number independently.</w:t>
      </w:r>
    </w:p>
    <w:p>
      <w:r>
        <w:rPr>
          <w:b/>
        </w:rPr>
        <w:t>Your commission design is also on-benchmark.</w:t>
      </w:r>
      <w:r>
        <w:t xml:space="preserve"> The MSP rule of thumb is ~</w:t>
      </w:r>
      <w:r>
        <w:rPr>
          <w:b/>
        </w:rPr>
        <w:t>1× the first month's MRR</w:t>
      </w:r>
      <w:r>
        <w:t>, accelerating to 1.5–2× above quota. Yours is exactly that.</w:t>
      </w:r>
    </w:p>
    <w:p>
      <w:pPr>
        <w:pStyle w:val="Heading1"/>
      </w:pPr>
      <w:r>
        <w:t>Why we added $0 net-new MRR in 2026</w:t>
      </w:r>
    </w:p>
    <w:p>
      <w:r>
        <w:t xml:space="preserve">The funnel math says the constraint is almost never close ratio — it is </w:t>
      </w:r>
      <w:r>
        <w:rPr>
          <w:b/>
        </w:rPr>
        <w:t>first-time appointments attended.</w:t>
      </w:r>
      <w:r>
        <w:t xml:space="preserve"> Three structural failures explain the zero:</w:t>
      </w:r>
    </w:p>
    <w:p>
      <w:pPr>
        <w:pStyle w:val="ListNumber"/>
      </w:pPr>
      <w:r>
        <w:rPr>
          <w:b/>
        </w:rPr>
        <w:t>The SDR seat is unstaffed.</w:t>
      </w:r>
      <w:r>
        <w:t xml:space="preserve"> The SDR is the role that produces appointments (30 sat/month). Our staffing plan shows </w:t>
      </w:r>
      <w:r>
        <w:rPr>
          <w:b/>
        </w:rPr>
        <w:t>SDR = 0</w:t>
      </w:r>
      <w:r>
        <w:t xml:space="preserve">. The BDR therefore has </w:t>
      </w:r>
      <w:r>
        <w:rPr>
          <w:b/>
        </w:rPr>
        <w:t>no appointment supply.</w:t>
      </w:r>
    </w:p>
    <w:p>
      <w:pPr>
        <w:pStyle w:val="ListNumber"/>
      </w:pPr>
      <w:r>
        <w:rPr>
          <w:b/>
        </w:rPr>
        <w:t>The BDR job description contains no activity metrics at all.</w:t>
      </w:r>
      <w:r>
        <w:t xml:space="preserve"> Every dial, appointment, and conversion number lives only in the SDR document and the 60-Day Plan. </w:t>
      </w:r>
      <w:r>
        <w:rPr>
          <w:b/>
        </w:rPr>
        <w:t>Nobody is accountable for the top of the funnel.</w:t>
      </w:r>
    </w:p>
    <w:p>
      <w:pPr>
        <w:pStyle w:val="ListNumber"/>
      </w:pPr>
      <w:r>
        <w:rPr>
          <w:b/>
        </w:rPr>
        <w:t>The 60-Day Plan's activity system is not being run</w:t>
      </w:r>
      <w:r>
        <w:t xml:space="preserve"> — no daily reporting, no points, no Monday sales meeting discipline.</w:t>
      </w:r>
    </w:p>
    <w:p>
      <w:r>
        <w:t xml:space="preserve">You do not have a quota problem. You have an </w:t>
      </w:r>
      <w:r>
        <w:rPr>
          <w:b/>
        </w:rPr>
        <w:t>appointment-supply and accountability problem.</w:t>
      </w:r>
    </w:p>
    <w:p>
      <w:pPr>
        <w:pStyle w:val="Heading1"/>
      </w:pPr>
      <w:r>
        <w:t>The deal-size dependency (the one number that decides everything)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Average new-client MRR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Logos needed for $6,000/mo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Logos needed for $10,000/mo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$2,200 (industry median)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2.7 / month (33 / yr)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4.5 / month (55 / yr)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$3,500 (target)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1.7 / month (21 / yr)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2.9 / month (34 / yr)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$5,000 (sweet spot)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1.2 / month (14 / yr)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2.0 / month (24 / yr)</w:t>
            </w:r>
          </w:p>
        </w:tc>
      </w:tr>
    </w:tbl>
    <w:p/>
    <w:p>
      <w:r>
        <w:rPr>
          <w:b/>
        </w:rPr>
        <w:t>Hold the line on deal size and the quota works. Chase small logos and no amount of activity will save it.</w:t>
      </w:r>
      <w:r>
        <w:t xml:space="preserve"> This is exactly why LAND &amp; EXPAND — selling up the stack (vCISO → CaaS → MSSP → MSP) — is the right go-to-market: it raises average MRR per new client, which is the cheapest way to hit quota.</w:t>
      </w:r>
    </w:p>
    <w:p>
      <w:pPr>
        <w:pStyle w:val="Heading1"/>
      </w:pPr>
      <w:r>
        <w:t>Recommended quota ramp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Period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Quota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Note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Months 1–3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No quota</w:t>
            </w:r>
            <w:r>
              <w:rPr>
                <w:sz w:val="19"/>
              </w:rPr>
              <w:t xml:space="preserve"> (draw in effect)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Held to full activity standards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Month 4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$4,000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Month 5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$5,000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Months 6–12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$6,000</w:t>
            </w:r>
            <w:r>
              <w:rPr>
                <w:sz w:val="19"/>
              </w:rPr>
              <w:t xml:space="preserve"> (full quota)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Expect only 60–80% attainment in year one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Year 2+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$6,000 quota · </w:t>
            </w:r>
            <w:r>
              <w:rPr>
                <w:b/>
                <w:sz w:val="19"/>
              </w:rPr>
              <w:t>$8,000 expected</w:t>
            </w:r>
            <w:r>
              <w:rPr>
                <w:sz w:val="19"/>
              </w:rPr>
              <w:t xml:space="preserve"> · $10,000 top-quartile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Accelerators fire at $9,000 and $12,000</w:t>
            </w:r>
          </w:p>
        </w:tc>
      </w:tr>
    </w:tbl>
    <w:p/>
    <w:p>
      <w:r>
        <w:t xml:space="preserve">Averaged across the first six months (including the zero-quota ramp), this produces </w:t>
      </w:r>
      <w:r>
        <w:rPr>
          <w:b/>
        </w:rPr>
        <w:t>$3,000–$5,000/month — precisely TruPeer's guidance.</w:t>
      </w:r>
      <w:r>
        <w:t xml:space="preserve"> Quotas should be set so roughly </w:t>
      </w:r>
      <w:r>
        <w:rPr>
          <w:b/>
        </w:rPr>
        <w:t>60% of reps can hit them</w:t>
      </w:r>
      <w:r>
        <w:t>, not so only stars can.</w:t>
      </w:r>
    </w:p>
    <w:p>
      <w:pPr>
        <w:pStyle w:val="Heading1"/>
      </w:pPr>
      <w:r>
        <w:t>Three document conflicts to fix</w:t>
      </w:r>
    </w:p>
    <w:p>
      <w:pPr>
        <w:pStyle w:val="ListNumber"/>
      </w:pPr>
      <w:r>
        <w:rPr>
          <w:b/>
        </w:rPr>
        <w:t>Conflicting commission schedules.</w:t>
      </w:r>
      <w:r>
        <w:t xml:space="preserve"> The BDR </w:t>
      </w:r>
      <w:r>
        <w:rPr>
          <w:i/>
        </w:rPr>
        <w:t>job description</w:t>
      </w:r>
      <w:r>
        <w:t xml:space="preserve"> states 75%/50%/25%/12.5% of monthly value across months. The </w:t>
      </w:r>
      <w:r>
        <w:rPr>
          <w:i/>
        </w:rPr>
        <w:t>Compensation Plan</w:t>
      </w:r>
      <w:r>
        <w:t xml:space="preserve"> and the </w:t>
      </w:r>
      <w:r>
        <w:rPr>
          <w:i/>
        </w:rPr>
        <w:t>60-Day Plan</w:t>
      </w:r>
      <w:r>
        <w:t xml:space="preserve"> both state </w:t>
      </w:r>
      <w:r>
        <w:rPr>
          <w:b/>
        </w:rPr>
        <w:t>100%–150% of first-month MRR by term.</w:t>
      </w:r>
      <w:r>
        <w:t xml:space="preserve"> Two documents agree against one — </w:t>
      </w:r>
      <w:r>
        <w:rPr>
          <w:b/>
        </w:rPr>
        <w:t>the JD's schedule is stale.</w:t>
      </w:r>
      <w:r>
        <w:t xml:space="preserve"> Adopt the 100–150% structure.</w:t>
      </w:r>
    </w:p>
    <w:p>
      <w:pPr>
        <w:pStyle w:val="ListNumber"/>
      </w:pPr>
      <w:r>
        <w:rPr>
          <w:b/>
        </w:rPr>
        <w:t>Conflicting quota timing.</w:t>
      </w:r>
      <w:r>
        <w:t xml:space="preserve"> The Compensation Plan says "no quota for the first 90 days." The 60-Day Plan says quota rises to $4,000 at day 60. </w:t>
      </w:r>
      <w:r>
        <w:rPr>
          <w:b/>
        </w:rPr>
        <w:t>Harmonized above:</w:t>
      </w:r>
      <w:r>
        <w:t xml:space="preserve"> no quota through month 3, $4,000 at month 4.</w:t>
      </w:r>
    </w:p>
    <w:p>
      <w:pPr>
        <w:pStyle w:val="ListNumber"/>
      </w:pPr>
      <w:r>
        <w:rPr>
          <w:b/>
        </w:rPr>
        <w:t>Stale tooling and a typo.</w:t>
      </w:r>
      <w:r>
        <w:t xml:space="preserve"> The old JD references ConnectWise; we run </w:t>
      </w:r>
      <w:r>
        <w:rPr>
          <w:b/>
        </w:rPr>
        <w:t>AutoTask + HubSpot</w:t>
      </w:r>
      <w:r>
        <w:t xml:space="preserve">. And the "non-recoverable draw … for the first 90 </w:t>
      </w:r>
      <w:r>
        <w:rPr>
          <w:b/>
        </w:rPr>
        <w:t>months</w:t>
      </w:r>
      <w:r>
        <w:t xml:space="preserve">" is plainly a typo for 90 </w:t>
      </w:r>
      <w:r>
        <w:rPr>
          <w:b/>
        </w:rPr>
        <w:t>days</w:t>
      </w:r>
      <w:r>
        <w:t>.</w:t>
      </w:r>
    </w:p>
    <w:p>
      <w:r>
        <w:t xml:space="preserve">Also: every header field (base salary, reports-to, department) is </w:t>
      </w:r>
      <w:r>
        <w:rPr>
          <w:b/>
        </w:rPr>
        <w:t>blank</w:t>
      </w:r>
      <w:r>
        <w:t xml:space="preserve"> in all three source documents. The new JD fills them: </w:t>
      </w:r>
      <w:r>
        <w:rPr>
          <w:b/>
        </w:rPr>
        <w:t>BDR reports to the CRO (Ric), Department: Sales.</w:t>
      </w:r>
    </w:p>
    <w:p>
      <w:pPr>
        <w:pStyle w:val="Heading1"/>
      </w:pPr>
      <w:r>
        <w:t>What to do next</w:t>
      </w:r>
    </w:p>
    <w:p>
      <w:pPr>
        <w:pStyle w:val="ListNumber"/>
      </w:pPr>
      <w:r>
        <w:rPr>
          <w:b/>
        </w:rPr>
        <w:t>Staff the SDR seat.</w:t>
      </w:r>
      <w:r>
        <w:t xml:space="preserve"> Without 8–10 qualified appointments per month landing on the BDR's calendar, the $6,000 quota is arithmetic fiction. This is the highest-leverage hire in the sales org.</w:t>
      </w:r>
    </w:p>
    <w:p>
      <w:pPr>
        <w:pStyle w:val="ListNumber"/>
      </w:pPr>
      <w:r>
        <w:rPr>
          <w:b/>
        </w:rPr>
        <w:t>Adopt the new BDR job description</w:t>
      </w:r>
      <w:r>
        <w:t xml:space="preserve"> (quota, activities, and commission reconciled into one document).</w:t>
      </w:r>
    </w:p>
    <w:p>
      <w:pPr>
        <w:pStyle w:val="ListNumber"/>
      </w:pPr>
      <w:r>
        <w:rPr>
          <w:b/>
        </w:rPr>
        <w:t>Run the activity system</w:t>
      </w:r>
      <w:r>
        <w:t xml:space="preserve"> — Monday 9:00 AM sales meeting, weekly points (500/750), daily dials, Friday pipeline report.</w:t>
      </w:r>
    </w:p>
    <w:p>
      <w:pPr>
        <w:pStyle w:val="ListNumber"/>
      </w:pPr>
      <w:r>
        <w:rPr>
          <w:b/>
        </w:rPr>
        <w:t>Track average MRR per new client as a first-class KPI</w:t>
      </w:r>
      <w:r>
        <w:t>, alongside new MRR booked.</w:t>
      </w:r>
    </w:p>
    <w:p>
      <w:pPr>
        <w:pStyle w:val="ListNumber"/>
      </w:pPr>
      <w:r>
        <w:rPr>
          <w:b/>
        </w:rPr>
        <w:t>Align the financial model.</w:t>
      </w:r>
      <w:r>
        <w:t xml:space="preserve"> It currently assumes a rep produces $5,000/month at full ramp; the comp plan says $6,000. Reconcile — but do not raise the plan until real production returns.</w:t>
      </w:r>
    </w:p>
    <w:p>
      <w:pPr>
        <w:pStyle w:val="Heading1"/>
      </w:pPr>
      <w:r>
        <w:t>Sources</w:t>
      </w:r>
    </w:p>
    <w:p>
      <w:r>
        <w:t xml:space="preserve">Industry benchmarks drawn from: Robin Robins / TMT backwards-math funnel data · TruMethods sales-efficiency model · Bowman Williams MSP sales-compensation guide · Kaseya 2025 Global MSP Benchmark · MSP360 compensation guidance · Pulse RevOps MSP KPIs · Channel Futures (EarthLink per-rep MRR) · 2025–26 B2B sales-benchmark data (gradient.works, salesso). </w:t>
      </w:r>
      <w:r>
        <w:rPr>
          <w:i/>
        </w:rPr>
        <w:t>Note: the vendor-neutral gold standard — the Service Leadership / ConnectWise Annual Compensation Report — is paywalled; purchase it if defensible comp bands are needed. Most free MSP figures are coaching-client data or content marketing and should be treated as directional.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296" w:bottom="1152" w:left="1296" w:header="504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648" w:val="right"/>
      </w:tabs>
      <w:pBdr>
        <w:top w:val="single" w:sz="6" w:space="4" w:color="D6DCE5"/>
      </w:pBdr>
    </w:pPr>
    <w:r>
      <w:rPr>
        <w:color w:val="6B7684"/>
        <w:sz w:val="16"/>
      </w:rPr>
      <w:t>Securafy Inc.  ·  Confidential</w:t>
    </w:r>
    <w:r>
      <w:rPr>
        <w:color w:val="6B7684"/>
        <w:sz w:val="16"/>
      </w:rPr>
      <w:tab/>
      <w:t xml:space="preserve">Page </w:t>
    </w:r>
    <w:r>
      <w:rPr>
        <w:color w:val="6B7684"/>
        <w:sz w:val="16"/>
      </w:rPr>
      <w:fldChar w:fldCharType="begin"/>
    </w:r>
    <w:r>
      <w:rPr>
        <w:color w:val="6B7684"/>
        <w:sz w:val="16"/>
      </w:rPr>
      <w:instrText xml:space="preserve">PAGE</w:instrText>
    </w:r>
    <w:r>
      <w:rPr>
        <w:color w:val="6B7684"/>
        <w:sz w:val="16"/>
      </w:rPr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648" w:val="right"/>
      </w:tabs>
      <w:spacing w:after="80"/>
      <w:jc w:val="left"/>
      <w:pBdr>
        <w:bottom w:val="single" w:sz="12" w:space="4" w:color="1F3864"/>
      </w:pBdr>
    </w:pPr>
    <w:r>
      <w:drawing>
        <wp:inline xmlns:a="http://schemas.openxmlformats.org/drawingml/2006/main" xmlns:pic="http://schemas.openxmlformats.org/drawingml/2006/picture">
          <wp:extent cx="1371600" cy="37106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ecurafy Logo on White 200x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1061"/>
                  </a:xfrm>
                  <a:prstGeom prst="rect"/>
                </pic:spPr>
              </pic:pic>
            </a:graphicData>
          </a:graphic>
        </wp:inline>
      </w:drawing>
    </w:r>
    <w:r>
      <w:rPr>
        <w:b/>
        <w:color w:val="6B7684"/>
        <w:sz w:val="15"/>
      </w:rPr>
      <w:tab/>
      <w:t>BDR QUOTA &amp; ACTIVITY — BENCHMARK ANALYSIS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4" w:lineRule="auto"/>
    </w:pPr>
    <w:rPr>
      <w:rFonts w:ascii="Calibri" w:hAnsi="Calibri"/>
      <w:color w:val="1620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Calibri" w:hAnsi="Calibri"/>
      <w:b/>
      <w:bCs/>
      <w:color w:val="1F386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1F3864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3864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1F386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