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Securafy — Client MRR / ORR / AISP Breakdown</w:t>
      </w:r>
    </w:p>
    <w:p>
      <w:r>
        <w:rPr>
          <w:b/>
        </w:rPr>
        <w:t>Live from AutoTask · July 2026 · for the EOS Level 10 meeting</w:t>
      </w:r>
    </w:p>
    <w:p>
      <w:r>
        <w:t>MRR vs ORR split by AutoTask billing code (Secure-CARE / Essential-CARE = MRR; Data-CARE / SaaS / CaaS-CARE / VCSO / HaaS = ORR). Own internal account excluded.</w:t>
      </w:r>
    </w:p>
    <w:p>
      <w:pPr>
        <w:pStyle w:val="Heading1"/>
      </w:pPr>
      <w:r>
        <w:t>The numbers at a glance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Value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Active clients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13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Managed MRR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$101,701 / mo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ORR (backup, M365, compliance, etc.)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$35,286 / mo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Total recurring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$136,987 / mo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Seats (endpoints)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412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Blended managed AISP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$247 / seat</w:t>
            </w:r>
            <w:r>
              <w:rPr>
                <w:sz w:val="19"/>
              </w:rPr>
              <w:t xml:space="preserve"> </w:t>
            </w:r>
            <w:r>
              <w:rPr>
                <w:i/>
                <w:sz w:val="19"/>
              </w:rPr>
              <w:t>(healthy — in the $150–250 band)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Avg managed MRR / client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$7,823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Net-new MRR added in 2026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$0</w:t>
            </w:r>
          </w:p>
        </w:tc>
      </w:tr>
    </w:tbl>
    <w:p/>
    <w:p>
      <w:pPr>
        <w:pStyle w:val="Heading1"/>
      </w:pPr>
      <w:r>
        <w:t>Per-client breakdown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08"/>
        <w:gridCol w:w="1608"/>
        <w:gridCol w:w="1608"/>
        <w:gridCol w:w="1608"/>
        <w:gridCol w:w="1608"/>
        <w:gridCol w:w="1608"/>
      </w:tblGrid>
      <w:tr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Client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MRR / mo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ORR / mo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Total / mo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Seats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AISP ($/seat)</w:t>
            </w:r>
          </w:p>
        </w:tc>
      </w:tr>
      <w:tr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New Albany Country Club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$37,937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$10,288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$48,225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160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$237</w:t>
            </w:r>
          </w:p>
        </w:tc>
      </w:tr>
      <w:tr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New Albany Company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$14,219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$14,144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$28,363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58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$245</w:t>
            </w:r>
          </w:p>
        </w:tc>
      </w:tr>
      <w:tr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New Albany Realty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$12,512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$1,458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$13,970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32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$391</w:t>
            </w:r>
          </w:p>
        </w:tc>
      </w:tr>
      <w:tr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Jay-Em Aerospace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$9,905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$2,771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$12,676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38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$261</w:t>
            </w:r>
          </w:p>
        </w:tc>
      </w:tr>
      <w:tr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Freedom Health LLC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$8,076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$3,291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$11,367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34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$238</w:t>
            </w:r>
          </w:p>
        </w:tc>
      </w:tr>
      <w:tr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Amer Cunningham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$7,321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$1,257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$8,578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32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$229</w:t>
            </w:r>
          </w:p>
        </w:tc>
      </w:tr>
      <w:tr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New Albany Community Foundation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$3,600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$625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$4,225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14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$257</w:t>
            </w:r>
          </w:p>
        </w:tc>
      </w:tr>
      <w:tr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RCO Sales, Inc.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$2,352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$935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$3,287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16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$147</w:t>
            </w:r>
          </w:p>
        </w:tc>
      </w:tr>
      <w:tr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Standard Welding &amp; Steel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$2,323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$450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$2,773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15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$155</w:t>
            </w:r>
          </w:p>
        </w:tc>
      </w:tr>
      <w:tr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KASS Corporation ⚠️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$1,707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$0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$1,707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7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$244</w:t>
            </w:r>
          </w:p>
        </w:tc>
      </w:tr>
      <w:tr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Walford Industrial Park ⚠️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$969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$66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$1,035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$323</w:t>
            </w:r>
          </w:p>
        </w:tc>
      </w:tr>
      <w:tr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Friendsville Sand, LP. ⚠️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$506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$0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$506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$506</w:t>
            </w:r>
          </w:p>
        </w:tc>
      </w:tr>
      <w:tr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Supro Spring &amp; Wire Forms ⚠️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$276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$0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$276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$138</w:t>
            </w:r>
          </w:p>
        </w:tc>
      </w:tr>
      <w:tr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Total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$101,701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$35,286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$136,987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412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$247</w:t>
            </w:r>
          </w:p>
        </w:tc>
      </w:tr>
    </w:tbl>
    <w:p/>
    <w:p>
      <w:r>
        <w:t>⚠️ = below the $1,800/mo MRR floor.</w:t>
      </w:r>
    </w:p>
    <w:p>
      <w:pPr>
        <w:pStyle w:val="Heading1"/>
      </w:pPr>
      <w:r>
        <w:t>Talking points for the room</w:t>
      </w:r>
    </w:p>
    <w:p>
      <w:r>
        <w:rPr>
          <w:b/>
        </w:rPr>
        <w:t>1. ⚠️ Client concentration is the #1 risk.</w:t>
      </w:r>
      <w:r>
        <w:t xml:space="preserve"> The </w:t>
      </w:r>
      <w:r>
        <w:rPr>
          <w:b/>
        </w:rPr>
        <w:t>four New Albany accounts = $68,268 MRR = 67% of managed MRR</w:t>
      </w:r>
      <w:r>
        <w:t xml:space="preserve"> (69% of total recurring). Two-thirds of the company rides on one relationship. Diversifying this belongs on the Rocks — it's a bigger exposure than pricing.</w:t>
      </w:r>
    </w:p>
    <w:p>
      <w:r>
        <w:rPr>
          <w:b/>
        </w:rPr>
        <w:t>2. Pricing is healthy — we are NOT underpriced.</w:t>
      </w:r>
      <w:r>
        <w:t xml:space="preserve"> Blended managed AISP is </w:t>
      </w:r>
      <w:r>
        <w:rPr>
          <w:b/>
        </w:rPr>
        <w:t>$247/seat</w:t>
      </w:r>
      <w:r>
        <w:t xml:space="preserve">, squarely in the world-class $150–250 band; most clients are $229–$391. So the flat-MRR problem is </w:t>
      </w:r>
      <w:r>
        <w:rPr>
          <w:b/>
        </w:rPr>
        <w:t>not</w:t>
      </w:r>
      <w:r>
        <w:t xml:space="preserve"> a repricing problem for the existing base.</w:t>
      </w:r>
    </w:p>
    <w:p>
      <w:r>
        <w:rPr>
          <w:b/>
        </w:rPr>
        <w:t>3. Flat MRR is a NEW-LOGO problem.</w:t>
      </w:r>
      <w:r>
        <w:t xml:space="preserve"> 13 clients, healthily priced, and </w:t>
      </w:r>
      <w:r>
        <w:rPr>
          <w:b/>
        </w:rPr>
        <w:t>$0 net-new MRR added in 2026.</w:t>
      </w:r>
      <w:r>
        <w:t xml:space="preserve"> The lever is the sales engine (FTAs → new clients) + NRR via TBRs — not squeezing the current book.</w:t>
      </w:r>
    </w:p>
    <w:p>
      <w:r>
        <w:rPr>
          <w:b/>
        </w:rPr>
        <w:t>4. Four small accounts drag margin.</w:t>
      </w:r>
      <w:r>
        <w:t xml:space="preserve"> KASS, Walford, Friendsville, Supro are below the $1,800/mo floor (the guides' "small-client margin drag"). Reprice up or cull — small dollars (~$44K/yr), but they consume fixed vCIO/TAM cost. RCO ($147) and Standard Welding ($155) sit right at the AISP floor — reprice candidates.</w:t>
      </w:r>
    </w:p>
    <w:p>
      <w:r>
        <w:rPr>
          <w:b/>
        </w:rPr>
        <w:t>5. ORR attach is healthy (~35% of MRR).</w:t>
      </w:r>
      <w:r>
        <w:t xml:space="preserve"> Backup/M365/compliance add-ons are a solid secondary stream — and the compliance lines (CaaS-CARE, VCSO) are the seed of the MSSP growth story.</w:t>
      </w:r>
    </w:p>
    <w:p>
      <w:pPr>
        <w:pStyle w:val="Heading1"/>
      </w:pPr>
      <w:r>
        <w:t>The one decision this data forces</w:t>
      </w:r>
    </w:p>
    <w:p>
      <w:r>
        <w:t xml:space="preserve">The plan's fastest-money assumption ("reprice the existing base") is </w:t>
      </w:r>
      <w:r>
        <w:rPr>
          <w:b/>
        </w:rPr>
        <w:t>small here (~$44K/yr)</w:t>
      </w:r>
      <w:r>
        <w:t xml:space="preserve">. The real growth must come from </w:t>
      </w:r>
      <w:r>
        <w:rPr>
          <w:b/>
        </w:rPr>
        <w:t>(a) new logos</w:t>
      </w:r>
      <w:r>
        <w:t xml:space="preserve"> and </w:t>
      </w:r>
      <w:r>
        <w:rPr>
          <w:b/>
        </w:rPr>
        <w:t>(b) reducing New Albany concentration</w:t>
      </w:r>
      <w:r>
        <w:t xml:space="preserve">. That should reshape the Q4 sales Rocks toward </w:t>
      </w:r>
      <w:r>
        <w:rPr>
          <w:i/>
        </w:rPr>
        <w:t>acquisition + diversification</w:t>
      </w:r>
      <w:r>
        <w:t>, not repricing.</w:t>
      </w:r>
    </w:p>
    <w:p>
      <w:pPr>
        <w:spacing w:after="200"/>
      </w:pPr>
      <w:r>
        <w:rPr>
          <w:i/>
          <w:color w:val="6B7684"/>
          <w:sz w:val="20"/>
        </w:rPr>
        <w:t>Source: live AutoTask pull (`tools/autotask_aisp_pull.py`), reconciled to the penny against total recurring. ORR/MRR split per AutoTask billing codes.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SECURAFY — CLIENT MRR / ORR / AISP BREAKDOWN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