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pBdr>
          <w:bottom w:val="single" w:sz="14" w:space="4" w:color="1C9EDC"/>
        </w:pBdr>
      </w:pPr>
      <w:r>
        <w:t>Securafy Sales &amp; MRR-Recovery Playbook</w:t>
      </w:r>
    </w:p>
    <w:p>
      <w:r>
        <w:rPr>
          <w:b/>
        </w:rPr>
        <w:t>Turning on net-new MRR — synthesized from the TruMethods sales, pricing &amp; unit-economics curriculum · July 2026</w:t>
      </w:r>
    </w:p>
    <w:p>
      <w:pPr>
        <w:pStyle w:val="Heading1"/>
      </w:pPr>
      <w:r>
        <w:t>Why this document exists</w:t>
      </w:r>
    </w:p>
    <w:p>
      <w:r>
        <w:t xml:space="preserve">Securafy has added </w:t>
      </w:r>
      <w:r>
        <w:rPr>
          <w:b/>
        </w:rPr>
        <w:t>$0 net-new MRR in 2026.</w:t>
      </w:r>
      <w:r>
        <w:t xml:space="preserve"> The base is flat at ~$130K MRR, NRR is ~$0, and the entire $2M → $10M plan depends on fixing this. This playbook distills ~30 operational guides into the diagnosis and the specific, prioritized moves to turn the growth engine on. It is the operating companion to the financial model's "revenue is the constraint" finding.</w:t>
      </w:r>
    </w:p>
    <w:p>
      <w:pPr>
        <w:pStyle w:val="Heading1"/>
      </w:pPr>
      <w:r>
        <w:t>The one equation that governs everything</w:t>
      </w:r>
    </w:p>
    <w:p>
      <w:pPr>
        <w:spacing w:before="120" w:after="160"/>
        <w:ind w:left="173"/>
        <w:shd w:val="clear" w:color="auto" w:fill="F2F6FB"/>
        <w:pBdr>
          <w:left w:val="single" w:sz="18" w:space="4" w:color="1C9EDC"/>
        </w:pBdr>
      </w:pPr>
      <w:r>
        <w:rPr>
          <w:b/>
          <w:sz w:val="20"/>
        </w:rPr>
        <w:t>New MRR = FTAs × Close Ratio × Average MRR</w:t>
      </w:r>
    </w:p>
    <w:p>
      <w:r>
        <w:t>Three levers, and world-class benchmarks for each: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Lever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Benchmark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Securafy read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FTAs</w:t>
            </w:r>
            <w:r>
              <w:rPr>
                <w:sz w:val="19"/>
              </w:rPr>
              <w:t xml:space="preserve"> (First-Time Appointments)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~2 FTAs/week per rep (≈5 FTAs per close at 20%)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Almost certainly too low / not tracked — the likely root of $0 net-new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Close Ratio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15–20%</w:t>
            </w:r>
            <w:r>
              <w:rPr>
                <w:sz w:val="19"/>
              </w:rPr>
              <w:t xml:space="preserve"> at the right price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Weak if selling on price/technical pain instead of value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Average MRR / client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$3,500</w:t>
            </w:r>
            <w:r>
              <w:rPr>
                <w:sz w:val="19"/>
              </w:rPr>
              <w:t xml:space="preserve"> (floor ~$2,000)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Compliance specialty justifies a premium floor — set one</w:t>
            </w:r>
          </w:p>
        </w:tc>
      </w:tr>
    </w:tbl>
    <w:p/>
    <w:p>
      <w:r>
        <w:rPr>
          <w:i/>
        </w:rPr>
        <w:t>If you track only one new number starting Monday, track FTAs.</w:t>
      </w:r>
      <w:r>
        <w:t xml:space="preserve"> A flat MRR year with no FTA count means you're flying blind on the single metric that predicts revenue.</w:t>
      </w:r>
    </w:p>
    <w:p>
      <w:pPr>
        <w:pStyle w:val="Heading1"/>
      </w:pPr>
      <w:r>
        <w:t>The diagnosis: three problems at once</w:t>
      </w:r>
    </w:p>
    <w:p>
      <w:r>
        <w:t>The guides point to three simultaneous causes — you almost certainly have all three, and they must be fixed in this order (fix the bucket before adding water):</w:t>
      </w:r>
    </w:p>
    <w:p>
      <w:pPr>
        <w:pStyle w:val="ListNumber"/>
      </w:pPr>
      <w:r>
        <w:rPr>
          <w:b/>
        </w:rPr>
        <w:t>Leaky bucket — pricing &amp; MRR quality.</w:t>
      </w:r>
      <w:r>
        <w:t xml:space="preserve"> Underpriced/"bad" MRR, no price-escalation clause, and possibly an average MRR below the $2,000–$3,500 floor. </w:t>
      </w:r>
      <w:r>
        <w:rPr>
          <w:i/>
        </w:rPr>
        <w:t>"Your price is not necessarily too high — it's how you package and present."</w:t>
      </w:r>
    </w:p>
    <w:p>
      <w:pPr>
        <w:pStyle w:val="ListNumber"/>
      </w:pPr>
      <w:r>
        <w:rPr>
          <w:b/>
        </w:rPr>
        <w:t>Under-monetized base — no NRR.</w:t>
      </w:r>
      <w:r>
        <w:t xml:space="preserve"> With no Technology Business Reviews, you're leaving </w:t>
      </w:r>
      <w:r>
        <w:rPr>
          <w:b/>
        </w:rPr>
        <w:t>20–30% of MRR = ~$26K–$39K/month (~$310K–$470K/yr)</w:t>
      </w:r>
      <w:r>
        <w:t xml:space="preserve"> of project/compliance NRR on the table. Fastest cash, zero new logos.</w:t>
      </w:r>
    </w:p>
    <w:p>
      <w:pPr>
        <w:pStyle w:val="ListNumber"/>
      </w:pPr>
      <w:r>
        <w:rPr>
          <w:b/>
        </w:rPr>
        <w:t>Stalled engine — sales activity.</w:t>
      </w:r>
      <w:r>
        <w:t xml:space="preserve"> $0 net-new = top-of-funnel collapse. Either FTAs aren't happening, or the inside-sales function that generates them isn't staffed.</w:t>
      </w:r>
    </w:p>
    <w:p>
      <w:r>
        <w:br w:type="page"/>
      </w:r>
    </w:p>
    <w:p>
      <w:pPr>
        <w:pStyle w:val="Heading1"/>
      </w:pPr>
      <w:r>
        <w:t>The five fastest MRR levers (prioritized)</w:t>
      </w:r>
    </w:p>
    <w:p>
      <w:pPr>
        <w:pStyle w:val="Heading2"/>
      </w:pPr>
      <w:r>
        <w:t xml:space="preserve">Lever 1 — Convert &amp; reprice existing clients </w:t>
      </w:r>
      <w:r>
        <w:rPr>
          <w:i/>
        </w:rPr>
        <w:t>(fastest; no new logos)</w:t>
      </w:r>
    </w:p>
    <w:p>
      <w:pPr>
        <w:pStyle w:val="ListBullet"/>
      </w:pPr>
      <w:r>
        <w:t xml:space="preserve">Compute each client's </w:t>
      </w:r>
      <w:r>
        <w:rPr>
          <w:b/>
        </w:rPr>
        <w:t>current AISP</w:t>
      </w:r>
      <w:r>
        <w:t xml:space="preserve"> = trailing-12-mo revenue ÷ seats. Rank by gap to your target all-in MRR.</w:t>
      </w:r>
    </w:p>
    <w:p>
      <w:pPr>
        <w:pStyle w:val="ListBullet"/>
      </w:pPr>
      <w:r>
        <w:t xml:space="preserve">Convert the </w:t>
      </w:r>
      <w:r>
        <w:rPr>
          <w:b/>
        </w:rPr>
        <w:t>smallest gaps / highest-visibility clients first</w:t>
      </w:r>
      <w:r>
        <w:t xml:space="preserve"> (concessions OK — they become case studies).</w:t>
      </w:r>
    </w:p>
    <w:p>
      <w:pPr>
        <w:pStyle w:val="ListBullet"/>
      </w:pPr>
      <w:r>
        <w:t xml:space="preserve">Reprice every account below </w:t>
      </w:r>
      <w:r>
        <w:rPr>
          <w:b/>
        </w:rPr>
        <w:t>~$1,800/mo average MRR</w:t>
      </w:r>
      <w:r>
        <w:t xml:space="preserve"> and every high-reactive-noise account.</w:t>
      </w:r>
    </w:p>
    <w:p>
      <w:pPr>
        <w:pStyle w:val="ListBullet"/>
      </w:pPr>
      <w:r>
        <w:rPr>
          <w:b/>
        </w:rPr>
        <w:t>Add a CPI price-escalation clause to every agreement</w:t>
      </w:r>
      <w:r>
        <w:t xml:space="preserve"> (and backfill existing ones). Flat MRR is partly a </w:t>
      </w:r>
      <w:r>
        <w:rPr>
          <w:i/>
        </w:rPr>
        <w:t>contract</w:t>
      </w:r>
      <w:r>
        <w:t xml:space="preserve"> problem — without escalation, MRR can't rise with costs.</w:t>
      </w:r>
    </w:p>
    <w:p>
      <w:pPr>
        <w:pStyle w:val="Heading2"/>
      </w:pPr>
      <w:r>
        <w:t xml:space="preserve">Lever 2 — Turn on NRR via Technology Business Reviews </w:t>
      </w:r>
      <w:r>
        <w:rPr>
          <w:i/>
        </w:rPr>
        <w:t>(cash on the table now)</w:t>
      </w:r>
    </w:p>
    <w:p>
      <w:pPr>
        <w:pStyle w:val="ListBullet"/>
      </w:pPr>
      <w:r>
        <w:t xml:space="preserve">Target </w:t>
      </w:r>
      <w:r>
        <w:rPr>
          <w:b/>
        </w:rPr>
        <w:t>NRR = 20–30% of MRR</w:t>
      </w:r>
      <w:r>
        <w:t xml:space="preserve"> = ~$26K–$39K/month at your current base.</w:t>
      </w:r>
    </w:p>
    <w:p>
      <w:pPr>
        <w:pStyle w:val="ListBullet"/>
      </w:pPr>
      <w:r>
        <w:t>Requires the vCIO seat + TBRs on cadence (this is the #1 Rock already). The vCIO playbook exists to generate this NRR.</w:t>
      </w:r>
    </w:p>
    <w:p>
      <w:pPr>
        <w:pStyle w:val="Heading2"/>
      </w:pPr>
      <w:r>
        <w:t>Lever 3 — Run the MRR Evaluator every quarter</w:t>
      </w:r>
    </w:p>
    <w:p>
      <w:pPr>
        <w:pStyle w:val="ListBullet"/>
      </w:pPr>
      <w:r>
        <w:t xml:space="preserve">Separate </w:t>
      </w:r>
      <w:r>
        <w:rPr>
          <w:b/>
        </w:rPr>
        <w:t>MRR (target ~70% gross margin)</w:t>
      </w:r>
      <w:r>
        <w:t xml:space="preserve"> from </w:t>
      </w:r>
      <w:r>
        <w:rPr>
          <w:b/>
        </w:rPr>
        <w:t>ORR</w:t>
      </w:r>
      <w:r>
        <w:t xml:space="preserve"> (cloud/M365/backup-only — 30–40% GM). If much of your $130K is mislabeled low-margin ORR, "flat MRR" is partly a classification problem.</w:t>
      </w:r>
    </w:p>
    <w:p>
      <w:pPr>
        <w:pStyle w:val="ListBullet"/>
      </w:pPr>
      <w:r>
        <w:t>Predefine what a "good deal" looks like so sales stops taking sub-margin logos just to show movement.</w:t>
      </w:r>
    </w:p>
    <w:p>
      <w:pPr>
        <w:pStyle w:val="ListBullet"/>
      </w:pPr>
      <w:r>
        <w:t>Walk away from ORR-only and culture-problem clients — freeing the bottom funds the top.</w:t>
      </w:r>
    </w:p>
    <w:p>
      <w:pPr>
        <w:pStyle w:val="Heading2"/>
      </w:pPr>
      <w:r>
        <w:t>Lever 4 — Raise Average MRR &amp; AISP</w:t>
      </w:r>
    </w:p>
    <w:p>
      <w:pPr>
        <w:pStyle w:val="ListBullet"/>
      </w:pPr>
      <w:r>
        <w:t xml:space="preserve">Target </w:t>
      </w:r>
      <w:r>
        <w:rPr>
          <w:b/>
        </w:rPr>
        <w:t>$3,500 avg MRR</w:t>
      </w:r>
      <w:r>
        <w:t xml:space="preserve">; set a </w:t>
      </w:r>
      <w:r>
        <w:rPr>
          <w:b/>
        </w:rPr>
        <w:t>minimum MRR + minimum AISP</w:t>
      </w:r>
      <w:r>
        <w:t xml:space="preserve"> for all new deals.</w:t>
      </w:r>
    </w:p>
    <w:p>
      <w:pPr>
        <w:pStyle w:val="ListBullet"/>
      </w:pPr>
      <w:r>
        <w:rPr>
          <w:b/>
        </w:rPr>
        <w:t>Target prospects with MORE seats than your current base.</w:t>
      </w:r>
      <w:r>
        <w:t xml:space="preserve"> Small clients should pay </w:t>
      </w:r>
      <w:r>
        <w:rPr>
          <w:i/>
        </w:rPr>
        <w:t>more</w:t>
      </w:r>
      <w:r>
        <w:t xml:space="preserve"> per seat, not less (use base fees to pull them up).</w:t>
      </w:r>
    </w:p>
    <w:p>
      <w:pPr>
        <w:pStyle w:val="ListBullet"/>
      </w:pPr>
      <w:r>
        <w:t xml:space="preserve">The math: at $3,500 avg MRR you need </w:t>
      </w:r>
      <w:r>
        <w:rPr>
          <w:b/>
        </w:rPr>
        <w:t>55 FTAs</w:t>
      </w:r>
      <w:r>
        <w:t xml:space="preserve"> for a goal that takes </w:t>
      </w:r>
      <w:r>
        <w:rPr>
          <w:b/>
        </w:rPr>
        <w:t>120 FTAs</w:t>
      </w:r>
      <w:r>
        <w:t xml:space="preserve"> at $1,500. Deal size beats deal count.</w:t>
      </w:r>
    </w:p>
    <w:p>
      <w:pPr>
        <w:pStyle w:val="Heading2"/>
      </w:pPr>
      <w:r>
        <w:t>Lever 5 — Restore the sales engine</w:t>
      </w:r>
    </w:p>
    <w:p>
      <w:pPr>
        <w:pStyle w:val="ListBullet"/>
      </w:pPr>
      <w:r>
        <w:t xml:space="preserve">Instrument and review FTAs, close ratio, and avg MRR </w:t>
      </w:r>
      <w:r>
        <w:rPr>
          <w:b/>
        </w:rPr>
        <w:t>weekly</w:t>
      </w:r>
      <w:r>
        <w:t>.</w:t>
      </w:r>
    </w:p>
    <w:p>
      <w:pPr>
        <w:pStyle w:val="ListBullet"/>
      </w:pPr>
      <w:r>
        <w:t xml:space="preserve">Confirm inside sales is a </w:t>
      </w:r>
      <w:r>
        <w:rPr>
          <w:b/>
        </w:rPr>
        <w:t>separate function</w:t>
      </w:r>
      <w:r>
        <w:t xml:space="preserve"> from BDM closing (below).</w:t>
      </w:r>
    </w:p>
    <w:p>
      <w:pPr>
        <w:pStyle w:val="ListBullet"/>
      </w:pPr>
      <w:r>
        <w:t xml:space="preserve">Install the </w:t>
      </w:r>
      <w:r>
        <w:rPr>
          <w:b/>
        </w:rPr>
        <w:t>weekly internal sales meeting</w:t>
      </w:r>
      <w:r>
        <w:t xml:space="preserve"> and the </w:t>
      </w:r>
      <w:r>
        <w:rPr>
          <w:b/>
        </w:rPr>
        <w:t>WHAWHN anti-stall discipline</w:t>
      </w:r>
      <w:r>
        <w:t xml:space="preserve"> (below).</w:t>
      </w:r>
    </w:p>
    <w:p>
      <w:r>
        <w:br w:type="page"/>
      </w:r>
    </w:p>
    <w:p>
      <w:pPr>
        <w:pStyle w:val="Heading1"/>
      </w:pPr>
      <w:r>
        <w:t>Packaging &amp; pricing — likely the real root cause</w:t>
      </w:r>
    </w:p>
    <w:p>
      <w:pPr>
        <w:pStyle w:val="ListBullet"/>
      </w:pPr>
      <w:r>
        <w:rPr>
          <w:b/>
        </w:rPr>
        <w:t>Sell the cake, not the ingredients.</w:t>
      </w:r>
      <w:r>
        <w:t xml:space="preserve"> Nobody buys flour, butter, eggs (patching, AV, backup, monitoring). They buy the finished result. Your recipe = </w:t>
      </w:r>
      <w:r>
        <w:rPr>
          <w:b/>
        </w:rPr>
        <w:t>"your company way."</w:t>
      </w:r>
    </w:p>
    <w:p>
      <w:pPr>
        <w:pStyle w:val="ListBullet"/>
      </w:pPr>
      <w:r>
        <w:rPr>
          <w:b/>
        </w:rPr>
        <w:t>The Four Blocks</w:t>
      </w:r>
      <w:r>
        <w:t xml:space="preserve"> = Reactive Support + Centralized Services + Technology Alignment + vCIO, collectively </w:t>
      </w:r>
      <w:r>
        <w:rPr>
          <w:b/>
        </w:rPr>
        <w:t>"Technology Success."</w:t>
      </w:r>
      <w:r>
        <w:t xml:space="preserve"> Blocks 1–2 are commodity; </w:t>
      </w:r>
      <w:r>
        <w:rPr>
          <w:b/>
        </w:rPr>
        <w:t>TAM + vCIO are what you're actually selling.</w:t>
      </w:r>
      <w:r>
        <w:t xml:space="preserve"> Never present the flat "one block" laundry list of ~20 services — it shows no value and invites price shopping.</w:t>
      </w:r>
    </w:p>
    <w:p>
      <w:pPr>
        <w:pStyle w:val="ListBullet"/>
      </w:pPr>
      <w:r>
        <w:rPr>
          <w:b/>
        </w:rPr>
        <w:t>Price per user (per-seat), not per-device.</w:t>
      </w:r>
    </w:p>
    <w:p>
      <w:pPr>
        <w:pStyle w:val="ListBullet"/>
      </w:pPr>
      <w:r>
        <w:rPr>
          <w:b/>
        </w:rPr>
        <w:t>Reconsider the 3-tier Core/Secure/Enterprise-CARE structure.</w:t>
      </w:r>
      <w:r>
        <w:t xml:space="preserve"> The guides strongly favor </w:t>
      </w:r>
      <w:r>
        <w:rPr>
          <w:b/>
        </w:rPr>
        <w:t>one standardized all-in bundle</w:t>
      </w:r>
      <w:r>
        <w:t xml:space="preserve">. Multiple tiers confuse clients, raise your costs, and — if Core-CARE is a "tools/everybody-stuff" tier — teach clients to shop on price and never buy your company way. At minimum, </w:t>
      </w:r>
      <w:r>
        <w:rPr>
          <w:b/>
        </w:rPr>
        <w:t>every tier must include vCIO + TAM</w:t>
      </w:r>
      <w:r>
        <w:t xml:space="preserve">, and security should be </w:t>
      </w:r>
      <w:r>
        <w:rPr>
          <w:i/>
        </w:rPr>
        <w:t>included</w:t>
      </w:r>
      <w:r>
        <w:t>, not a cheaper base.</w:t>
      </w:r>
    </w:p>
    <w:p>
      <w:pPr>
        <w:pStyle w:val="ListBullet"/>
      </w:pPr>
      <w:r>
        <w:rPr>
          <w:b/>
        </w:rPr>
        <w:t>Pricing math:</w:t>
      </w:r>
      <w:r>
        <w:t xml:space="preserve"> </w:t>
      </w:r>
      <w:r>
        <w:rPr>
          <w:b/>
        </w:rPr>
        <w:t>AISP = cost-per-seat × 3.33</w:t>
      </w:r>
      <w:r>
        <w:t xml:space="preserve"> to hit </w:t>
      </w:r>
      <w:r>
        <w:rPr>
          <w:b/>
        </w:rPr>
        <w:t>70% gross margin.</w:t>
      </w:r>
      <w:r>
        <w:t xml:space="preserve"> Reference AISP bands: </w:t>
      </w:r>
      <w:r>
        <w:rPr>
          <w:b/>
        </w:rPr>
        <w:t>FFF (full fixed fee) $150–$250+ · PFF $125–$200+ · CMS (co-managed) $90+.</w:t>
      </w:r>
      <w:r>
        <w:t xml:space="preserve"> Projects are excluded from all three.</w:t>
      </w:r>
    </w:p>
    <w:p>
      <w:pPr>
        <w:pStyle w:val="ListBullet"/>
      </w:pPr>
      <w:r>
        <w:rPr>
          <w:b/>
        </w:rPr>
        <w:t>"Price is only an issue in the absence of value."</w:t>
      </w:r>
      <w:r>
        <w:t xml:space="preserve"> Quote monthly/annual figures in sales — reserve seat pricing for </w:t>
      </w:r>
      <w:r>
        <w:rPr>
          <w:i/>
        </w:rPr>
        <w:t>after</w:t>
      </w:r>
      <w:r>
        <w:t xml:space="preserve"> they've agreed to buy (it's an internal metric, not a selling tool).</w:t>
      </w:r>
    </w:p>
    <w:p>
      <w:pPr>
        <w:pStyle w:val="Heading1"/>
      </w:pPr>
      <w:r>
        <w:t>Unit economics — the numbers that decide health (picanomics)</w:t>
      </w:r>
    </w:p>
    <w:p>
      <w:r>
        <w:rPr>
          <w:b/>
        </w:rPr>
        <w:t>The 3 simple numbers</w:t>
      </w:r>
      <w:r>
        <w:t xml:space="preserve"> (everything ties back to these): </w:t>
      </w:r>
      <w:r>
        <w:rPr>
          <w:b/>
        </w:rPr>
        <w:t>Average AISP · Average MRR/client (&gt;$2,000; ideally $3,500) · Seats per support resource (≥250).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Metric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Target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Why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RHEM</w:t>
            </w:r>
            <w:r>
              <w:rPr>
                <w:sz w:val="19"/>
              </w:rPr>
              <w:t xml:space="preserve"> (reactive hrs / end user / month)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&lt; 0.25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The master efficiency driver — low RHEM → more seats/tech → lower cost/seat → margin for proactive value (up to 7× leverage)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Reactive Service %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20%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Time on reactive vs. proactive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Reactive tickets / user / month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&lt; 0.5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"Noise" per user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Tickets / tech / month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200–300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Tech efficiency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Total Close %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≥ 100%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Backlog shrinking, not growing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Service revenue / employee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≥ </w:t>
            </w:r>
            <w:r>
              <w:rPr>
                <w:b/>
                <w:sz w:val="19"/>
              </w:rPr>
              <w:t>$150,000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Leverage (all staff)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Service revenue / technical employee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≥ </w:t>
            </w:r>
            <w:r>
              <w:rPr>
                <w:b/>
                <w:sz w:val="19"/>
              </w:rPr>
              <w:t>$250,000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Leverage (technical)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Gross margin (managed MRR)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70%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The pricing north star</w:t>
            </w:r>
          </w:p>
        </w:tc>
      </w:tr>
    </w:tbl>
    <w:p/>
    <w:p>
      <w:r>
        <w:rPr>
          <w:b/>
        </w:rPr>
        <w:t>Per-role leverage — add one resource per:</w:t>
      </w:r>
      <w:r>
        <w:t xml:space="preserve"> vCIO </w:t>
      </w:r>
      <w:r>
        <w:rPr>
          <w:b/>
        </w:rPr>
        <w:t>$140K MRR</w:t>
      </w:r>
      <w:r>
        <w:t xml:space="preserve"> · TAM </w:t>
      </w:r>
      <w:r>
        <w:rPr>
          <w:b/>
        </w:rPr>
        <w:t>$70K MRR</w:t>
      </w:r>
      <w:r>
        <w:t xml:space="preserve"> · Support Desk </w:t>
      </w:r>
      <w:r>
        <w:rPr>
          <w:b/>
        </w:rPr>
        <w:t>$60K MRR</w:t>
      </w:r>
      <w:r>
        <w:t xml:space="preserve"> · Professional Services </w:t>
      </w:r>
      <w:r>
        <w:rPr>
          <w:b/>
        </w:rPr>
        <w:t>$22K/mo NRR</w:t>
      </w:r>
      <w:r>
        <w:t xml:space="preserve"> · Centralized Services </w:t>
      </w:r>
      <w:r>
        <w:rPr>
          <w:b/>
        </w:rPr>
        <w:t>5,000 endpoints</w:t>
      </w:r>
      <w:r>
        <w:t>. (TAM ≈ 20 clients, vCIO ≈ 40 clients.)</w:t>
      </w:r>
    </w:p>
    <w:p>
      <w:r>
        <w:rPr>
          <w:b/>
        </w:rPr>
        <w:t>Two diagnostics to run this month:</w:t>
      </w:r>
    </w:p>
    <w:p>
      <w:pPr>
        <w:pStyle w:val="ListBullet"/>
      </w:pPr>
      <w:r>
        <w:rPr>
          <w:b/>
        </w:rPr>
        <w:t>Turning Point:</w:t>
      </w:r>
      <w:r>
        <w:t xml:space="preserve"> the point where MRR ≥ </w:t>
      </w:r>
      <w:r>
        <w:rPr>
          <w:i/>
        </w:rPr>
        <w:t>all</w:t>
      </w:r>
      <w:r>
        <w:t xml:space="preserve"> operating expenses (employee + owner comp + overhead + opex, excluding product COGS). Above it, every NRR/hardware dollar drops to the bottom line. Are you above or below?</w:t>
      </w:r>
    </w:p>
    <w:p>
      <w:pPr>
        <w:pStyle w:val="ListBullet"/>
      </w:pPr>
      <w:r>
        <w:rPr>
          <w:b/>
        </w:rPr>
        <w:t>Unrealized Profitability = (# employees × $150,000) − annual MRR.</w:t>
      </w:r>
      <w:r>
        <w:t xml:space="preserve"> At ~$1.56M annual MRR with, say, 12 staff → ~$240K+ of profit is likely trapped in low pricing/leverage. This tells you whether flat MRR is a </w:t>
      </w:r>
      <w:r>
        <w:rPr>
          <w:i/>
        </w:rPr>
        <w:t>sales</w:t>
      </w:r>
      <w:r>
        <w:t xml:space="preserve"> problem or a </w:t>
      </w:r>
      <w:r>
        <w:rPr>
          <w:i/>
        </w:rPr>
        <w:t>pricing/leverage</w:t>
      </w:r>
      <w:r>
        <w:t xml:space="preserve"> problem (likely both).</w:t>
      </w:r>
    </w:p>
    <w:p>
      <w:r>
        <w:br w:type="page"/>
      </w:r>
    </w:p>
    <w:p>
      <w:pPr>
        <w:pStyle w:val="Heading1"/>
      </w:pPr>
      <w:r>
        <w:t>The sales engine — fixing the growth motion</w:t>
      </w:r>
    </w:p>
    <w:p>
      <w:r>
        <w:rPr>
          <w:b/>
        </w:rPr>
        <w:t>The 5-stage funnel:</w:t>
      </w:r>
      <w:r>
        <w:t xml:space="preserve"> Marketing (leads) → </w:t>
      </w:r>
      <w:r>
        <w:rPr>
          <w:b/>
        </w:rPr>
        <w:t>Inside Sales</w:t>
      </w:r>
      <w:r>
        <w:t xml:space="preserve"> (qualify + set FTAs) → </w:t>
      </w:r>
      <w:r>
        <w:rPr>
          <w:b/>
        </w:rPr>
        <w:t>Outside Sales/BDM</w:t>
      </w:r>
      <w:r>
        <w:t xml:space="preserve"> (FTA → qualify → close). </w:t>
      </w:r>
      <w:r>
        <w:rPr>
          <w:i/>
        </w:rPr>
        <w:t>~80% of the work happens before the salesperson walks in.</w:t>
      </w:r>
    </w:p>
    <w:p>
      <w:r>
        <w:rPr>
          <w:b/>
        </w:rPr>
        <w:t>Critical structural check:</w:t>
      </w:r>
      <w:r>
        <w:t xml:space="preserve"> Inside sales (setting FTAs) is a </w:t>
      </w:r>
      <w:r>
        <w:rPr>
          <w:b/>
        </w:rPr>
        <w:t>separate function</w:t>
      </w:r>
      <w:r>
        <w:t xml:space="preserve"> from BDM closing. If your BDMs are expected to both prospect-dial </w:t>
      </w:r>
      <w:r>
        <w:rPr>
          <w:i/>
        </w:rPr>
        <w:t>and</w:t>
      </w:r>
      <w:r>
        <w:t xml:space="preserve"> close, the inside-sales role is effectively unstaffed → no top of funnel → no net-new MRR. Consider a dedicated inside/SDR seat feeding the BDMs.</w:t>
      </w:r>
    </w:p>
    <w:p>
      <w:r>
        <w:rPr>
          <w:b/>
        </w:rPr>
        <w:t>Inside-sales activity benchmarks (per rep):</w:t>
      </w:r>
      <w:r>
        <w:t xml:space="preserve"> 400–500 dials/week · 40–50 decision-maker conversations/week · </w:t>
      </w:r>
      <w:r>
        <w:rPr>
          <w:b/>
        </w:rPr>
        <w:t>3–5 FTAs/week</w:t>
      </w:r>
      <w:r>
        <w:t xml:space="preserve"> · "8 before 8, 5 after 5." A voicemail is </w:t>
      </w:r>
      <w:r>
        <w:rPr>
          <w:i/>
        </w:rPr>
        <w:t>not</w:t>
      </w:r>
      <w:r>
        <w:t xml:space="preserve"> a successful call.</w:t>
      </w:r>
    </w:p>
    <w:p>
      <w:r>
        <w:rPr>
          <w:b/>
        </w:rPr>
        <w:t>The outside-sales process (run in order):</w:t>
      </w:r>
    </w:p>
    <w:p>
      <w:r>
        <w:rPr>
          <w:rFonts w:ascii="Consolas" w:hAnsi="Consolas"/>
          <w:color w:val="2B4A80"/>
          <w:sz w:val="19"/>
        </w:rPr>
        <w:t>Set the Stage → Pain → Money → Decision → [THE DOOR] → Presentation → What Happens Next → What Happens After</w:t>
      </w:r>
    </w:p>
    <w:p>
      <w:pPr>
        <w:pStyle w:val="ListBullet"/>
      </w:pPr>
      <w:r>
        <w:rPr>
          <w:b/>
        </w:rPr>
        <w:t>~80% of the sale must be complete before "The Door"</w:t>
      </w:r>
      <w:r>
        <w:t xml:space="preserve"> (before you present). Present too early into an unqualified deal = the stall.</w:t>
      </w:r>
    </w:p>
    <w:p>
      <w:pPr>
        <w:pStyle w:val="ListBullet"/>
      </w:pPr>
      <w:r>
        <w:rPr>
          <w:b/>
        </w:rPr>
        <w:t>Pain = end-result &amp; emotional, not technical.</w:t>
      </w:r>
      <w:r>
        <w:t xml:space="preserve"> Real pain is "three levels down" — use question-with-a-question, "so what," "give them more line." Selling on the technical request (new server, better backup) doesn't motivate a switch.</w:t>
      </w:r>
    </w:p>
    <w:p>
      <w:pPr>
        <w:pStyle w:val="ListBullet"/>
      </w:pPr>
      <w:r>
        <w:rPr>
          <w:b/>
        </w:rPr>
        <w:t>The money conversation: early and often, never after.</w:t>
      </w:r>
      <w:r>
        <w:t xml:space="preserve"> </w:t>
      </w:r>
      <w:r>
        <w:rPr>
          <w:i/>
        </w:rPr>
        <w:t>"Never present without the money conversation first."</w:t>
      </w:r>
      <w:r>
        <w:t xml:space="preserve"> Frame price against the prospect's </w:t>
      </w:r>
      <w:r>
        <w:rPr>
          <w:i/>
        </w:rPr>
        <w:t>larger</w:t>
      </w:r>
      <w:r>
        <w:t xml:space="preserve"> business costs (downtime, breach, inefficiency) — the $3,000 vs $2,500 gap becomes trivial. Ban seat-pricing from the pitch.</w:t>
      </w:r>
    </w:p>
    <w:p>
      <w:pPr>
        <w:pStyle w:val="ListBullet"/>
      </w:pPr>
      <w:r>
        <w:rPr>
          <w:b/>
        </w:rPr>
        <w:t>Create Sales Separation.</w:t>
      </w:r>
      <w:r>
        <w:t xml:space="preserve"> It's "our process vs. all alternatives," not just vs. the incumbent — and vs. the "do nothing" option. Without a real Technology Success practice you can't separate, and you lose to whoever is cheaper.</w:t>
      </w:r>
    </w:p>
    <w:p>
      <w:r>
        <w:rPr>
          <w:b/>
        </w:rPr>
        <w:t>Set the Stage &amp; the "NO" doctrine:</w:t>
      </w:r>
      <w:r>
        <w:t xml:space="preserve"> agree up front that only two outcomes exist — a solid basis to continue, or no reason to pursue. </w:t>
      </w:r>
      <w:r>
        <w:rPr>
          <w:i/>
        </w:rPr>
        <w:t>"'No' is not the problem; prospects not saying YES is."</w:t>
      </w:r>
      <w:r>
        <w:t xml:space="preserve"> Train reps that these are all </w:t>
      </w:r>
      <w:r>
        <w:rPr>
          <w:b/>
        </w:rPr>
        <w:t>NO in disguise:</w:t>
      </w:r>
      <w:r>
        <w:t xml:space="preserve"> "call me in a few weeks," "send info," "send a proposal," "let me talk to my office manager," "I like it, but…"</w:t>
      </w:r>
    </w:p>
    <w:p>
      <w:r>
        <w:rPr>
          <w:b/>
        </w:rPr>
        <w:t>WHAWHN — the anti-stall closing discipline (highest-leverage fix for a stuck pipeline):</w:t>
      </w:r>
      <w:r>
        <w:t xml:space="preserve"> control not just the next step but the step </w:t>
      </w:r>
      <w:r>
        <w:rPr>
          <w:i/>
        </w:rPr>
        <w:t>after</w:t>
      </w:r>
      <w:r>
        <w:t xml:space="preserve"> it. Reclassify proposal/reference/internal-meeting requests as </w:t>
      </w:r>
      <w:r>
        <w:rPr>
          <w:b/>
        </w:rPr>
        <w:t>stalls to qualify</w:t>
      </w:r>
      <w:r>
        <w:t>, not wins. Every prospect meeting opens with a full recap (they don't remember you) + WHN + WHAWHN, and closes by mapping two steps ahead with a rep-controlled next action.</w:t>
      </w:r>
    </w:p>
    <w:p>
      <w:r>
        <w:rPr>
          <w:b/>
        </w:rPr>
        <w:t>The weekly internal sales meeting</w:t>
      </w:r>
      <w:r>
        <w:t xml:space="preserve"> (the operating rhythm most missing in a flat year): same time weekly, first activity of the week, non-negotiable. Agenda: good news → weekly activity review (100% of goals) → </w:t>
      </w:r>
      <w:r>
        <w:rPr>
          <w:b/>
        </w:rPr>
        <w:t>FTA review</w:t>
      </w:r>
      <w:r>
        <w:t xml:space="preserve"> → PBR forecast (30-day / 31–60-day prospects) → vCIO/NRR review → KPI review (MRR, NRR, close ratio) → role-play. </w:t>
      </w:r>
      <w:r>
        <w:rPr>
          <w:i/>
        </w:rPr>
        <w:t>"Watch the film."</w:t>
      </w:r>
    </w:p>
    <w:p>
      <w:pPr>
        <w:pStyle w:val="Heading1"/>
      </w:pPr>
      <w:r>
        <w:t>Securafy's competitive edge: turn compliance into landmines</w:t>
      </w:r>
    </w:p>
    <w:p>
      <w:r>
        <w:t xml:space="preserve">Your CMMC/CJIS/Healthcare specialty is a differentiation weapon — but sell the </w:t>
      </w:r>
      <w:r>
        <w:rPr>
          <w:i/>
        </w:rPr>
        <w:t>outcome</w:t>
      </w:r>
      <w:r>
        <w:t>, not the certs:</w:t>
      </w:r>
    </w:p>
    <w:p>
      <w:pPr>
        <w:pStyle w:val="ListBullet"/>
      </w:pPr>
      <w:r>
        <w:rPr>
          <w:b/>
        </w:rPr>
        <w:t>"The issue is not the issue."</w:t>
      </w:r>
      <w:r>
        <w:t xml:space="preserve"> Reframe "I have a security/compliance issue" into the business decision.</w:t>
      </w:r>
    </w:p>
    <w:p>
      <w:pPr>
        <w:pStyle w:val="ListBullet"/>
      </w:pPr>
      <w:r>
        <w:rPr>
          <w:b/>
        </w:rPr>
        <w:t>The killer landmine question</w:t>
      </w:r>
      <w:r>
        <w:t xml:space="preserve"> for regulated targets: </w:t>
      </w:r>
      <w:r>
        <w:rPr>
          <w:i/>
        </w:rPr>
        <w:t>"If you had a total loss, breach, or audit today — how long to be operational and compliant, and when did you last test it?"</w:t>
      </w:r>
      <w:r>
        <w:t xml:space="preserve"> Most incumbents and in-house IT fail this.</w:t>
      </w:r>
    </w:p>
    <w:p>
      <w:pPr>
        <w:pStyle w:val="ListBullet"/>
      </w:pPr>
      <w:r>
        <w:rPr>
          <w:b/>
        </w:rPr>
        <w:t>Make low cost a red flag:</w:t>
      </w:r>
      <w:r>
        <w:t xml:space="preserve"> "a cheap MSP + CMMC = a failed audit and lost DoD contracts."</w:t>
      </w:r>
    </w:p>
    <w:p>
      <w:pPr>
        <w:pStyle w:val="ListBullet"/>
      </w:pPr>
      <w:r>
        <w:rPr>
          <w:b/>
        </w:rPr>
        <w:t>Clump all generic MSPs together</w:t>
      </w:r>
      <w:r>
        <w:t>; position Securafy as the only compliance-grade option.</w:t>
      </w:r>
    </w:p>
    <w:p>
      <w:pPr>
        <w:pStyle w:val="ListBullet"/>
      </w:pPr>
      <w:r>
        <w:rPr>
          <w:b/>
        </w:rPr>
        <w:t>Use security as the wedge, but never sell it standalone</w:t>
      </w:r>
      <w:r>
        <w:t xml:space="preserve"> — enter through the threat landscape, then zoom out to business results and Technology Success.</w:t>
      </w:r>
    </w:p>
    <w:p>
      <w:pPr>
        <w:pStyle w:val="ListBullet"/>
      </w:pPr>
      <w:r>
        <w:rPr>
          <w:b/>
        </w:rPr>
        <w:t>The one-sentence end result:</w:t>
      </w:r>
      <w:r>
        <w:t xml:space="preserve"> </w:t>
      </w:r>
      <w:r>
        <w:rPr>
          <w:i/>
        </w:rPr>
        <w:t>"You pass your CMMC assessment and keep your DoD contracts."</w:t>
      </w:r>
    </w:p>
    <w:p>
      <w:r>
        <w:br w:type="page"/>
      </w:r>
    </w:p>
    <w:p>
      <w:pPr>
        <w:pStyle w:val="Heading1"/>
      </w:pPr>
      <w:r>
        <w:t>The 30-day diagnostic sprint (do these first)</w:t>
      </w:r>
    </w:p>
    <w:p>
      <w:r>
        <w:t>Before hiring or spending, run these six diagnostics — they tell you exactly where the bucket leaks: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Diagnostic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Output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AISP-conversion audit</w:t>
            </w:r>
            <w:r>
              <w:rPr>
                <w:sz w:val="19"/>
              </w:rPr>
              <w:t xml:space="preserve"> — per client: trailing-12-mo revenue ÷ seats, ranked by gap to target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The reprice/convert list (fastest MRR)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BDM activity baseline</w:t>
            </w:r>
            <w:r>
              <w:rPr>
                <w:sz w:val="19"/>
              </w:rPr>
              <w:t xml:space="preserve"> — actual dials / DM conversations / FTAs vs. benchmark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Whether $0 net-new is an activity problem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3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Turning-point calc</w:t>
            </w:r>
            <w:r>
              <w:rPr>
                <w:sz w:val="19"/>
              </w:rPr>
              <w:t xml:space="preserve"> — MRR vs. all opex (ex product COGS)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Is the priority more MRR or more leverage?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4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Unrealized profitability</w:t>
            </w:r>
            <w:r>
              <w:rPr>
                <w:sz w:val="19"/>
              </w:rPr>
              <w:t xml:space="preserve"> — (# employees × $150K) − annual MRR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How much profit is trapped in pricing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5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NRR gap</w:t>
            </w:r>
            <w:r>
              <w:rPr>
                <w:sz w:val="19"/>
              </w:rPr>
              <w:t xml:space="preserve"> — current NRR vs. 20–30% of MRR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~$26–39K/mo of TBR revenue to recover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Revenue-mix split</w:t>
            </w:r>
            <w:r>
              <w:rPr>
                <w:sz w:val="19"/>
              </w:rPr>
              <w:t xml:space="preserve"> — MRR vs. ORR vs. product; margin on each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How much "flat MRR" is mislabeled low-margin ORR</w:t>
            </w:r>
          </w:p>
        </w:tc>
      </w:tr>
    </w:tbl>
    <w:p/>
    <w:p>
      <w:pPr>
        <w:pStyle w:val="Heading1"/>
      </w:pPr>
      <w:r>
        <w:t>The MRR scorecard (manage these weekly/monthly)</w:t>
      </w:r>
    </w:p>
    <w:p>
      <w:r>
        <w:rPr>
          <w:b/>
        </w:rPr>
        <w:t>Sales (weekly):</w:t>
      </w:r>
      <w:r>
        <w:t xml:space="preserve"> FTAs booked · close ratio · avg MRR of closed deals · pipeline (30-day / 31–60-day) · activity-goal completion %.</w:t>
      </w:r>
    </w:p>
    <w:p>
      <w:r>
        <w:rPr>
          <w:b/>
        </w:rPr>
        <w:t>Pricing (quarterly):</w:t>
      </w:r>
      <w:r>
        <w:t xml:space="preserve"> avg AISP · avg MRR/client · % of clients below the $1,800 floor · MRR vs ORR mix · gross margin %.</w:t>
      </w:r>
    </w:p>
    <w:p>
      <w:r>
        <w:rPr>
          <w:b/>
        </w:rPr>
        <w:t>Operations (monthly):</w:t>
      </w:r>
      <w:r>
        <w:t xml:space="preserve"> RHEM · reactive % · tickets/tech · Total Close % · revenue/employee · revenue/tech.</w:t>
      </w:r>
    </w:p>
    <w:p>
      <w:r>
        <w:rPr>
          <w:b/>
        </w:rPr>
        <w:t>Growth (monthly):</w:t>
      </w:r>
      <w:r>
        <w:t xml:space="preserve"> net-new MRR added · NRR as % of MRR · turning-point status.</w:t>
      </w:r>
    </w:p>
    <w:p>
      <w:pPr>
        <w:pStyle w:val="Heading1"/>
      </w:pPr>
      <w:r>
        <w:t>Bottom line for Randy</w:t>
      </w:r>
    </w:p>
    <w:p>
      <w:r>
        <w:t xml:space="preserve">The flatness is </w:t>
      </w:r>
      <w:r>
        <w:rPr>
          <w:b/>
        </w:rPr>
        <w:t>diagnosable and fixable</w:t>
      </w:r>
      <w:r>
        <w:t xml:space="preserve">, and the fastest money needs </w:t>
      </w:r>
      <w:r>
        <w:rPr>
          <w:b/>
        </w:rPr>
        <w:t>no new logos</w:t>
      </w:r>
      <w:r>
        <w:t>:</w:t>
      </w:r>
    </w:p>
    <w:p>
      <w:pPr>
        <w:pStyle w:val="ListNumber"/>
      </w:pPr>
      <w:r>
        <w:rPr>
          <w:b/>
        </w:rPr>
        <w:t>Reprice/convert existing clients + add CPI clauses</w:t>
      </w:r>
      <w:r>
        <w:t xml:space="preserve"> (Lever 1) — MRR growth from the base you already have.</w:t>
      </w:r>
    </w:p>
    <w:p>
      <w:pPr>
        <w:pStyle w:val="ListNumber"/>
      </w:pPr>
      <w:r>
        <w:rPr>
          <w:b/>
        </w:rPr>
        <w:t>Turn on TBRs</w:t>
      </w:r>
      <w:r>
        <w:t xml:space="preserve"> (Lever 2) — ~$26–39K/mo of NRR sitting on the table.</w:t>
      </w:r>
    </w:p>
    <w:p>
      <w:pPr>
        <w:pStyle w:val="ListNumber"/>
      </w:pPr>
      <w:r>
        <w:rPr>
          <w:b/>
        </w:rPr>
        <w:t>Instrument FTAs and install the weekly meeting + WHAWHN</w:t>
      </w:r>
      <w:r>
        <w:t xml:space="preserve"> (Lever 5) — restore the new-logo engine.</w:t>
      </w:r>
    </w:p>
    <w:p>
      <w:r>
        <w:t xml:space="preserve">Then packaging/pricing discipline and the compliance-landmine sales motion raise average MRR and close ratio so every new dollar is </w:t>
      </w:r>
      <w:r>
        <w:rPr>
          <w:i/>
        </w:rPr>
        <w:t>good</w:t>
      </w:r>
      <w:r>
        <w:t xml:space="preserve"> MRR. Run the 30-day sprint first — it will tell you whether you're leaking from the bucket, the funnel, or both (almost certainly both).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296" w:bottom="1152" w:left="1296" w:header="504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648" w:val="right"/>
      </w:tabs>
      <w:pBdr>
        <w:top w:val="single" w:sz="6" w:space="4" w:color="D6DCE5"/>
      </w:pBdr>
    </w:pPr>
    <w:r>
      <w:rPr>
        <w:color w:val="6B7684"/>
        <w:sz w:val="16"/>
      </w:rPr>
      <w:t>Securafy Inc.  ·  Confidential</w:t>
    </w:r>
    <w:r>
      <w:rPr>
        <w:color w:val="6B7684"/>
        <w:sz w:val="16"/>
      </w:rPr>
      <w:tab/>
      <w:t xml:space="preserve">Page </w:t>
    </w:r>
    <w:r>
      <w:rPr>
        <w:color w:val="6B7684"/>
        <w:sz w:val="16"/>
      </w:rPr>
      <w:fldChar w:fldCharType="begin"/>
    </w:r>
    <w:r>
      <w:rPr>
        <w:color w:val="6B7684"/>
        <w:sz w:val="16"/>
      </w:rPr>
      <w:instrText xml:space="preserve">PAGE</w:instrText>
    </w:r>
    <w:r>
      <w:rPr>
        <w:color w:val="6B7684"/>
        <w:sz w:val="16"/>
      </w:rPr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648" w:val="right"/>
      </w:tabs>
      <w:spacing w:after="80"/>
      <w:jc w:val="left"/>
      <w:pBdr>
        <w:bottom w:val="single" w:sz="12" w:space="4" w:color="1F3864"/>
      </w:pBdr>
    </w:pPr>
    <w:r>
      <w:drawing>
        <wp:inline xmlns:a="http://schemas.openxmlformats.org/drawingml/2006/main" xmlns:pic="http://schemas.openxmlformats.org/drawingml/2006/picture">
          <wp:extent cx="1371600" cy="37106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ecurafy Logo on White 200x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1061"/>
                  </a:xfrm>
                  <a:prstGeom prst="rect"/>
                </pic:spPr>
              </pic:pic>
            </a:graphicData>
          </a:graphic>
        </wp:inline>
      </w:drawing>
    </w:r>
    <w:r>
      <w:rPr>
        <w:b/>
        <w:color w:val="6B7684"/>
        <w:sz w:val="15"/>
      </w:rPr>
      <w:tab/>
      <w:t>SECURAFY SALES &amp; MRR-RECOVERY PLAYBOOK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4" w:lineRule="auto"/>
    </w:pPr>
    <w:rPr>
      <w:rFonts w:ascii="Calibri" w:hAnsi="Calibri"/>
      <w:color w:val="1620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Calibri" w:hAnsi="Calibri"/>
      <w:b/>
      <w:bCs/>
      <w:color w:val="1F386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1F3864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3864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1F386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