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Chart of Accounts — Review &amp; Recommendations</w:t>
      </w:r>
    </w:p>
    <w:p>
      <w:r>
        <w:rPr>
          <w:b/>
        </w:rPr>
        <w:t>Review of the QuickBooks "Account List" export · July 2026</w:t>
      </w:r>
    </w:p>
    <w:p>
      <w:pPr>
        <w:spacing w:before="120" w:after="160"/>
        <w:ind w:left="173"/>
        <w:shd w:val="clear" w:color="auto" w:fill="F2F6FB"/>
        <w:pBdr>
          <w:left w:val="single" w:sz="18" w:space="4" w:color="1C9EDC"/>
        </w:pBdr>
      </w:pPr>
      <w:r>
        <w:rPr>
          <w:b/>
          <w:sz w:val="20"/>
        </w:rPr>
        <w:t>Not a substitute for your CPA.</w:t>
      </w:r>
      <w:r>
        <w:rPr>
          <w:sz w:val="20"/>
        </w:rPr>
        <w:t xml:space="preserve"> These are recommendations to improve reporting and GAAP alignment. Merging accounts and reclassifying balances in QuickBooks moves historical transactions and can affect prior-period and tax reporting. </w:t>
      </w:r>
      <w:r>
        <w:rPr>
          <w:b/>
          <w:sz w:val="20"/>
        </w:rPr>
        <w:t>Back up QuickBooks and have your bookkeeper/CPA validate and execute</w:t>
      </w:r>
      <w:r>
        <w:rPr>
          <w:sz w:val="20"/>
        </w:rPr>
        <w:t xml:space="preserve"> — especially anything touching deferred revenue, equity, or prior years.</w:t>
      </w:r>
    </w:p>
    <w:p>
      <w:pPr>
        <w:pStyle w:val="Heading1"/>
      </w:pPr>
      <w:r>
        <w:t>Overall assessment</w:t>
      </w:r>
    </w:p>
    <w:p>
      <w:r>
        <w:t xml:space="preserve">The good news: your </w:t>
      </w:r>
      <w:r>
        <w:rPr>
          <w:b/>
        </w:rPr>
        <w:t>revenue structure is already strong for an MSP</w:t>
      </w:r>
      <w:r>
        <w:t xml:space="preserve"> — you segment NRR, MRR (Core-CARE / Secure-CARE / Enterprise-CARE), ORR (Data-CARE, CaaS-CARE, VCSO-CARE, PenTest, Cloud, SaaS, HaaS, VOIP, Security), and Product Sales. That maps to your -CARE service tiers and is exactly the kind of granularity most MSPs lack.</w:t>
      </w:r>
    </w:p>
    <w:p>
      <w:r>
        <w:t xml:space="preserve">The problems are </w:t>
      </w:r>
      <w:r>
        <w:rPr>
          <w:b/>
        </w:rPr>
        <w:t>accumulated clutter and inconsistent classification</w:t>
      </w:r>
      <w:r>
        <w:t xml:space="preserve"> — years of QuickBooks merges, restores, and one-off additions have left duplicates, misfiled accounts, and a numbering scheme that has broken down. The result is a P&amp;L that can't cleanly show </w:t>
      </w:r>
      <w:r>
        <w:rPr>
          <w:b/>
        </w:rPr>
        <w:t>gross margin by service line</w:t>
      </w:r>
      <w:r>
        <w:t xml:space="preserve"> — the single most important report for a business whose constraint is revenue/margin.</w:t>
      </w:r>
    </w:p>
    <w:p>
      <w:r>
        <w:t>Five things matter most, in order:</w:t>
      </w:r>
    </w:p>
    <w:p>
      <w:pPr>
        <w:pStyle w:val="ListNumber"/>
      </w:pPr>
      <w:r>
        <w:rPr>
          <w:b/>
        </w:rPr>
        <w:t>Fix the GAAP misclassifications</w:t>
      </w:r>
      <w:r>
        <w:t xml:space="preserve"> (deferred revenue sitting in assets).</w:t>
      </w:r>
    </w:p>
    <w:p>
      <w:pPr>
        <w:pStyle w:val="ListNumber"/>
      </w:pPr>
      <w:r>
        <w:rPr>
          <w:b/>
        </w:rPr>
        <w:t>Build a real Cost of Services layer</w:t>
      </w:r>
      <w:r>
        <w:t xml:space="preserve"> so you can see gross margin by service line.</w:t>
      </w:r>
    </w:p>
    <w:p>
      <w:pPr>
        <w:pStyle w:val="ListNumber"/>
      </w:pPr>
      <w:r>
        <w:rPr>
          <w:b/>
        </w:rPr>
        <w:t>Merge the duplicates</w:t>
      </w:r>
      <w:r>
        <w:t xml:space="preserve"> (there are many).</w:t>
      </w:r>
    </w:p>
    <w:p>
      <w:pPr>
        <w:pStyle w:val="ListNumber"/>
      </w:pPr>
      <w:r>
        <w:rPr>
          <w:b/>
        </w:rPr>
        <w:t>Repair the numbering scheme</w:t>
      </w:r>
      <w:r>
        <w:t xml:space="preserve"> (several accounts are in the wrong thousand-series).</w:t>
      </w:r>
    </w:p>
    <w:p>
      <w:pPr>
        <w:pStyle w:val="ListNumber"/>
      </w:pPr>
      <w:r>
        <w:rPr>
          <w:b/>
        </w:rPr>
        <w:t>Fix the detail types</w:t>
      </w:r>
      <w:r>
        <w:t xml:space="preserve"> (almost everything is mistyped as "Other Miscellaneous Service Cost").</w:t>
      </w:r>
    </w:p>
    <w:p>
      <w:pPr>
        <w:pStyle w:val="Heading1"/>
      </w:pPr>
      <w:r>
        <w:t>1. GAAP classification issues (fix first)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Account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Problem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Correct treatment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1150 A/R-Deferred Revenue-early pymt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Classified as an </w:t>
            </w:r>
            <w:r>
              <w:rPr>
                <w:b/>
                <w:sz w:val="19"/>
              </w:rPr>
              <w:t>Other Current Asset</w:t>
            </w:r>
            <w:r>
              <w:rPr>
                <w:sz w:val="19"/>
              </w:rPr>
              <w:t xml:space="preserve">. Deferred/unearned revenue is a </w:t>
            </w:r>
            <w:r>
              <w:rPr>
                <w:b/>
                <w:sz w:val="19"/>
              </w:rPr>
              <w:t>liability</w:t>
            </w:r>
            <w:r>
              <w:rPr>
                <w:sz w:val="19"/>
              </w:rPr>
              <w:t xml:space="preserve"> (cash received before the service is earned).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Reclassify to a current </w:t>
            </w:r>
            <w:r>
              <w:rPr>
                <w:b/>
                <w:sz w:val="19"/>
              </w:rPr>
              <w:t>liability</w:t>
            </w:r>
            <w:r>
              <w:rPr>
                <w:sz w:val="19"/>
              </w:rPr>
              <w:t xml:space="preserve"> (you already have 2050 Deferred Revenue).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1120 A/R YE adj-undeposited revenue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Looks like a year-end plug in assets.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Have CPA confirm; clear to the correct A/R or deferred-revenue treatment.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Deferred revenue generally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You bill MRR/annual agreements up front. Under </w:t>
            </w:r>
            <w:r>
              <w:rPr>
                <w:b/>
                <w:sz w:val="19"/>
              </w:rPr>
              <w:t>ASC 606</w:t>
            </w:r>
            <w:r>
              <w:rPr>
                <w:sz w:val="19"/>
              </w:rPr>
              <w:t xml:space="preserve">, cash received in advance is a liability recognized </w:t>
            </w:r>
            <w:r>
              <w:rPr>
                <w:b/>
                <w:sz w:val="19"/>
              </w:rPr>
              <w:t>ratably</w:t>
            </w:r>
            <w:r>
              <w:rPr>
                <w:sz w:val="19"/>
              </w:rPr>
              <w:t xml:space="preserve"> as service is delivered.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Standardize on one Deferred Revenue </w:t>
            </w:r>
            <w:r>
              <w:rPr>
                <w:b/>
                <w:sz w:val="19"/>
              </w:rPr>
              <w:t>liability</w:t>
            </w:r>
            <w:r>
              <w:rPr>
                <w:sz w:val="19"/>
              </w:rPr>
              <w:t xml:space="preserve"> account and a monthly recognition entry. This also makes MRR reporting accurate.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3400 Owner's draw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Detail type "Personal Expense."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Should be </w:t>
            </w:r>
            <w:r>
              <w:rPr>
                <w:b/>
                <w:sz w:val="19"/>
              </w:rPr>
              <w:t>Owner's Equity / Draw</w:t>
            </w:r>
            <w:r>
              <w:rPr>
                <w:sz w:val="19"/>
              </w:rPr>
              <w:t>, not an expense — it must not hit the P&amp;L.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4500 ORR-Income &amp; children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Typed as "Sales of Product Income," but ORR (vCSO, Cloud, Compliance, etc.) is mostly </w:t>
            </w:r>
            <w:r>
              <w:rPr>
                <w:b/>
                <w:sz w:val="19"/>
              </w:rPr>
              <w:t>service</w:t>
            </w:r>
            <w:r>
              <w:rPr>
                <w:sz w:val="19"/>
              </w:rPr>
              <w:t xml:space="preserve"> revenue.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Retype recurring services as </w:t>
            </w:r>
            <w:r>
              <w:rPr>
                <w:b/>
                <w:sz w:val="19"/>
              </w:rPr>
              <w:t>Service/Fee Income</w:t>
            </w:r>
            <w:r>
              <w:rPr>
                <w:sz w:val="19"/>
              </w:rPr>
              <w:t xml:space="preserve"> so product vs. service revenue is clean.</w:t>
            </w:r>
          </w:p>
        </w:tc>
      </w:tr>
    </w:tbl>
    <w:p/>
    <w:p>
      <w:pPr>
        <w:pStyle w:val="Heading1"/>
      </w:pPr>
      <w:r>
        <w:t>2. Build a Cost of Services layer (biggest reporting win)</w:t>
      </w:r>
    </w:p>
    <w:p>
      <w:r>
        <w:t xml:space="preserve">Today your </w:t>
      </w:r>
      <w:r>
        <w:rPr>
          <w:b/>
        </w:rPr>
        <w:t>service-delivery labor sits in Operating Expenses</w:t>
      </w:r>
      <w:r>
        <w:t xml:space="preserve"> (6350 SERVICE Payroll), and COGS is a single lumped "COGS-MSP." That structure </w:t>
      </w:r>
      <w:r>
        <w:rPr>
          <w:b/>
        </w:rPr>
        <w:t>overstates gross margin</w:t>
      </w:r>
      <w:r>
        <w:t xml:space="preserve"> and hides which service lines actually make money.</w:t>
      </w:r>
    </w:p>
    <w:p>
      <w:r>
        <w:rPr>
          <w:b/>
        </w:rPr>
        <w:t>Recommendation — mirror your revenue in your costs.</w:t>
      </w:r>
      <w:r>
        <w:t xml:space="preserve"> For each revenue category, create a matching Cost of Services account so the P&amp;L shows gross margin per line: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Revenue (existing)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Add matching Cost of Services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MRR-Income (Core/Secure/Enterprise-CARE)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COS-MRR (direct service labor + tools allocated to managed services)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ORR-Income (Cloud, SaaS/PAX8, HaaS, VOIP, Data-CARE, etc.)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COS-ORR by type (you partly have this — PAX8, Data Center, Hosting)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NRR / Project revenue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COS-Projects (project labor + subcontractors + materials)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Product Sales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COS-Product (hardware/software cost — exists)</w:t>
            </w:r>
          </w:p>
        </w:tc>
      </w:tr>
    </w:tbl>
    <w:p/>
    <w:p>
      <w:r>
        <w:t xml:space="preserve">Then split </w:t>
      </w:r>
      <w:r>
        <w:rPr>
          <w:b/>
        </w:rPr>
        <w:t>service-delivery payroll</w:t>
      </w:r>
      <w:r>
        <w:t xml:space="preserve"> into (a) </w:t>
      </w:r>
      <w:r>
        <w:rPr>
          <w:b/>
        </w:rPr>
        <w:t>direct/billable delivery labor → Cost of Services</w:t>
      </w:r>
      <w:r>
        <w:t xml:space="preserve"> and (b) </w:t>
      </w:r>
      <w:r>
        <w:rPr>
          <w:b/>
        </w:rPr>
        <w:t>management/overhead → OpEx</w:t>
      </w:r>
      <w:r>
        <w:t xml:space="preserve">. This is standard MSP practice and is defensible under GAAP cost-matching. The payoff: a true </w:t>
      </w:r>
      <w:r>
        <w:rPr>
          <w:b/>
        </w:rPr>
        <w:t>gross margin %</w:t>
      </w:r>
      <w:r>
        <w:t xml:space="preserve"> per service line, which feeds directly into your $2M→$10M financial model and shows where margin — not just revenue — is leaking.</w:t>
      </w:r>
    </w:p>
    <w:p>
      <w:pPr>
        <w:pStyle w:val="Heading1"/>
      </w:pPr>
      <w:r>
        <w:t>3. Duplicate accounts to merge</w:t>
      </w:r>
    </w:p>
    <w:p>
      <w:r>
        <w:t>Years of merges/restores left many duplicates. Candidates to consolidate (confirm balances first):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Keep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Merge in (duplicates)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2050 Deferred Revenue (liability)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1150 A/R-Deferred Revenue; unnumbered "Deferred Revenue"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1210 Inventory Asset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1420 Inventory Asset-1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6260 Insurance Expenses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6470 Insurance Expense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6150 Office supplies &amp; expense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6490 Office Supplies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6140 Business related travel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6410 Travel Expense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6480 Meals &amp; Entertainment (or keep 50%/100% split only)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6045, 6130, 6135 — rationalize to a clean 50%/100% pair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6270 Computer &amp; Internet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6155 Computer Expense &amp; Supplies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6900 Depreciation &amp; Amortization Exp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6280 Depreciation Expense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6690 Reconciliation Discrepancies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8200 Reconciliation Discrepancies-1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One VOIP revenue account (4580)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unnumbered "VOIP" and "VOIP:VOIP"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One "Other Recurring Revenue" (4595)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unnumbered "Other Recurring Revenue"; MRR-Income:Other Recurring Revenue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One Billable Expense Income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Billable Expense Income-1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4910 Sales of Product Income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unnumbered "Sales of Product Income"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2500 Ohio Dept of Revenue Payable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2505 (self-nested duplicate)</w:t>
            </w:r>
          </w:p>
        </w:tc>
      </w:tr>
    </w:tbl>
    <w:p/>
    <w:p>
      <w:r>
        <w:t xml:space="preserve">Also clean the </w:t>
      </w:r>
      <w:r>
        <w:rPr>
          <w:b/>
        </w:rPr>
        <w:t>self-nested NRR mess</w:t>
      </w:r>
      <w:r>
        <w:t xml:space="preserve">: </w:t>
      </w:r>
      <w:r>
        <w:rPr>
          <w:rFonts w:ascii="Consolas" w:hAnsi="Consolas"/>
          <w:color w:val="2B4A80"/>
          <w:sz w:val="19"/>
        </w:rPr>
        <w:t>NRR-Revenue:NRR-Revenue</w:t>
      </w:r>
      <w:r>
        <w:t xml:space="preserve">, </w:t>
      </w:r>
      <w:r>
        <w:rPr>
          <w:rFonts w:ascii="Consolas" w:hAnsi="Consolas"/>
          <w:color w:val="2B4A80"/>
          <w:sz w:val="19"/>
        </w:rPr>
        <w:t>NRR-Revenue:4010 NRR-Revenue</w:t>
      </w:r>
      <w:r>
        <w:t xml:space="preserve">, </w:t>
      </w:r>
      <w:r>
        <w:rPr>
          <w:rFonts w:ascii="Consolas" w:hAnsi="Consolas"/>
          <w:color w:val="2B4A80"/>
          <w:sz w:val="19"/>
        </w:rPr>
        <w:t>NRR-Revenue:4010 NRR-Revenue:MSP-Project-Services</w:t>
      </w:r>
      <w:r>
        <w:t xml:space="preserve">, and </w:t>
      </w:r>
      <w:r>
        <w:rPr>
          <w:rFonts w:ascii="Consolas" w:hAnsi="Consolas"/>
          <w:color w:val="2B4A80"/>
          <w:sz w:val="19"/>
        </w:rPr>
        <w:t>Credit Card Processing Fee (4080)</w:t>
      </w:r>
      <w:r>
        <w:t xml:space="preserve"> under NRR should be flattened into a clean NRR parent with a small set of children (e.g., Billable Services, MSP Projects), and CC processing fees moved to an </w:t>
      </w:r>
      <w:r>
        <w:rPr>
          <w:b/>
        </w:rPr>
        <w:t>expense</w:t>
      </w:r>
      <w:r>
        <w:t>, not netted inside revenue.</w:t>
      </w:r>
    </w:p>
    <w:p>
      <w:pPr>
        <w:pStyle w:val="Heading1"/>
      </w:pPr>
      <w:r>
        <w:t>4. Numbering / placement fixes</w:t>
      </w:r>
    </w:p>
    <w:p>
      <w:r>
        <w:t>The thousand-series scheme has broken in several places: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Account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Issue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Fix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5580 PayPal Credit Card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 credit-card </w:t>
            </w:r>
            <w:r>
              <w:rPr>
                <w:b/>
                <w:sz w:val="19"/>
              </w:rPr>
              <w:t>liability</w:t>
            </w:r>
            <w:r>
              <w:rPr>
                <w:sz w:val="19"/>
              </w:rPr>
              <w:t xml:space="preserve"> numbered in the 5000s (COGS range).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Renumber into the 2000s with the other credit cards (2005–2009).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7000 / 7200 / 7300</w:t>
            </w:r>
            <w:r>
              <w:rPr>
                <w:sz w:val="19"/>
              </w:rPr>
              <w:t xml:space="preserve"> (Sales Tax Discounts, Interest Income, Gain/Loss on asset)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Other Income</w:t>
            </w:r>
            <w:r>
              <w:rPr>
                <w:sz w:val="19"/>
              </w:rPr>
              <w:t xml:space="preserve"> mixed into the 7000s alongside expenses (7100–7140).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Move all Other Income/Expense to a dedicated </w:t>
            </w:r>
            <w:r>
              <w:rPr>
                <w:b/>
                <w:sz w:val="19"/>
              </w:rPr>
              <w:t>9000 series</w:t>
            </w:r>
            <w:r>
              <w:rPr>
                <w:sz w:val="19"/>
              </w:rPr>
              <w:t>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7100–7140</w:t>
            </w:r>
            <w:r>
              <w:rPr>
                <w:sz w:val="19"/>
              </w:rPr>
              <w:t xml:space="preserve"> (Out of State Tax, Merchant fees, Purchases, Uncategorized)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Expenses stranded in the 7000s.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Fold into the 6000 OpEx series (or a clean 7000 OpEx block — see below).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6700, 6710, 6720, 6800, 6900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Top-level 6xxx expenses sitting outside the "General &amp; Administrative" (6100) parent, while similar items are children of it.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Pick one hierarchy — either flatten G&amp;A or make these consistent children.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"Fixed  Assets" (double space)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Cosmetic naming inconsistency.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Rename cleanly.</w:t>
            </w:r>
          </w:p>
        </w:tc>
      </w:tr>
    </w:tbl>
    <w:p/>
    <w:p>
      <w:r>
        <w:rPr>
          <w:b/>
        </w:rPr>
        <w:t>Suggested standard framework: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Range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Category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1000–1999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Assets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2000–2999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Liabilities (incl. all credit cards, deferred revenue, payroll/sales tax payable)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3000–3999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Equity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4000–4999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Revenue (MRR / ORR / NRR / Product)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5000–5999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Cost of Services / COGS</w:t>
            </w:r>
            <w:r>
              <w:rPr>
                <w:sz w:val="19"/>
              </w:rPr>
              <w:t xml:space="preserve"> (mirroring the 4000 revenue lines)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6000–6999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Sales &amp; Marketing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7000–7999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General &amp; Administrative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8000–8999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Payroll &amp; Benefits (overhead portion)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9000–9999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Other Income / Other Expense (interest, gain/loss, penalties)</w:t>
            </w:r>
          </w:p>
        </w:tc>
      </w:tr>
    </w:tbl>
    <w:p/>
    <w:p>
      <w:pPr>
        <w:pStyle w:val="Heading1"/>
      </w:pPr>
      <w:r>
        <w:t>5. Detail-type cleanup</w:t>
      </w:r>
    </w:p>
    <w:p>
      <w:r>
        <w:t xml:space="preserve">Almost every expense is typed </w:t>
      </w:r>
      <w:r>
        <w:rPr>
          <w:b/>
        </w:rPr>
        <w:t>"Other Miscellaneous Service Cost"</w:t>
      </w:r>
      <w:r>
        <w:t xml:space="preserve"> regardless of what it is. QuickBooks uses detail types to drive tax mapping and standard reports, so this should be corrected to the proper types — e.g., Legal &amp; Professional Fees, Insurance, Rent or Lease of Buildings, Payroll Tax Expenses, Travel, Advertising/Promotional, Bank Charges, Utilities. This is tedious but improves every out-of-the-box report and your tax prep.</w:t>
      </w:r>
    </w:p>
    <w:p>
      <w:pPr>
        <w:pStyle w:val="Heading1"/>
      </w:pPr>
      <w:r>
        <w:t>6. Align to the growth plan</w:t>
      </w:r>
    </w:p>
    <w:p>
      <w:r>
        <w:t xml:space="preserve">Your new service lines from the strategic plan aren't in the CoA yet. As they launch, add </w:t>
      </w:r>
      <w:r>
        <w:rPr>
          <w:b/>
        </w:rPr>
        <w:t>matched revenue + Cost of Services pairs</w:t>
      </w:r>
      <w:r>
        <w:t xml:space="preserve"> so each is P&amp;L-visible from day one:</w:t>
      </w:r>
    </w:p>
    <w:p>
      <w:pPr>
        <w:pStyle w:val="ListBullet"/>
      </w:pPr>
      <w:r>
        <w:rPr>
          <w:b/>
        </w:rPr>
        <w:t>AI as a Service</w:t>
      </w:r>
      <w:r>
        <w:t xml:space="preserve"> — revenue + COS</w:t>
      </w:r>
    </w:p>
    <w:p>
      <w:pPr>
        <w:pStyle w:val="ListBullet"/>
      </w:pPr>
      <w:r>
        <w:rPr>
          <w:b/>
        </w:rPr>
        <w:t>SharePoint as a Service</w:t>
      </w:r>
      <w:r>
        <w:t xml:space="preserve"> — revenue + COS</w:t>
      </w:r>
    </w:p>
    <w:p>
      <w:pPr>
        <w:pStyle w:val="ListBullet"/>
      </w:pPr>
      <w:r>
        <w:rPr>
          <w:b/>
        </w:rPr>
        <w:t>Website as a Service</w:t>
      </w:r>
      <w:r>
        <w:t xml:space="preserve"> — revenue + COS</w:t>
      </w:r>
    </w:p>
    <w:p>
      <w:pPr>
        <w:pStyle w:val="ListBullet"/>
      </w:pPr>
      <w:r>
        <w:rPr>
          <w:b/>
        </w:rPr>
        <w:t>AI University</w:t>
      </w:r>
      <w:r>
        <w:t xml:space="preserve"> — revenue + COS</w:t>
      </w:r>
    </w:p>
    <w:p>
      <w:pPr>
        <w:pStyle w:val="ListBullet"/>
      </w:pPr>
      <w:r>
        <w:rPr>
          <w:b/>
        </w:rPr>
        <w:t>Compliance services (CMMC / CJIS / HIPAA)</w:t>
      </w:r>
      <w:r>
        <w:t xml:space="preserve"> — likely under ORR (you have CaaS-CARE and VCSO-CARE already — extend these)</w:t>
      </w:r>
    </w:p>
    <w:p>
      <w:r>
        <w:t>Adding these now means the financial model can track each line's margin as it ramps.</w:t>
      </w:r>
    </w:p>
    <w:p>
      <w:pPr>
        <w:pStyle w:val="Heading1"/>
      </w:pPr>
      <w:r>
        <w:t>Prioritized action plan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Priority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Action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Why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Reclassify deferred revenue (1150) to a liability; fix owner's-draw type; confirm 1120 plug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GAAP correctness; misstated balance sheet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Build the Cost of Services layer + split service payroll (direct vs. overhead)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Gross margin by service line — the report you most need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P1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Merge the duplicate accounts (with CPA, after backup)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Clean, trustworthy P&amp;L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P1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Fix numbering (5580, 7000-series income/expense split)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Reliable structure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P2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Correct detail types across expenses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Better standard reports + tax mapping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P2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Add revenue + COS pairs for the new service lines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Plan-aligned reporting</w:t>
            </w:r>
          </w:p>
        </w:tc>
      </w:tr>
    </w:tbl>
    <w:p/>
    <w:p>
      <w:pPr>
        <w:pStyle w:val="Heading1"/>
      </w:pPr>
      <w:r>
        <w:t>Recommended next step</w:t>
      </w:r>
    </w:p>
    <w:p>
      <w:r>
        <w:t xml:space="preserve">If useful, I can build a </w:t>
      </w:r>
      <w:r>
        <w:rPr>
          <w:b/>
        </w:rPr>
        <w:t>proposed clean chart of accounts</w:t>
      </w:r>
      <w:r>
        <w:t xml:space="preserve"> as an Excel workbook — the full renumbered/merged target list your CPA can review and use as the migration map. Say the word and I'll produce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CHART OF ACCOUNTS — REVIEW &amp; RECOMMENDATIONS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