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Securafy — Q3 2026 Company Rocks</w:t>
      </w:r>
    </w:p>
    <w:p>
      <w:r>
        <w:rPr>
          <w:b/>
        </w:rPr>
        <w:t>EOS Level 10 Meeting · Quarter: July 1 – September 30, 2026</w:t>
      </w:r>
    </w:p>
    <w:p>
      <w:r>
        <w:rPr>
          <w:b/>
        </w:rPr>
        <w:t>Theme: Stop the leak, turn on the engine, LAND &amp; EXPAND.</w:t>
      </w:r>
    </w:p>
    <w:p>
      <w:r>
        <w:rPr>
          <w:b/>
        </w:rPr>
        <w:t>Revenue snapshot (live, July 2026):</w:t>
      </w:r>
    </w:p>
    <w:p>
      <w:pPr>
        <w:pStyle w:val="ListBullet"/>
      </w:pPr>
      <w:r>
        <w:t xml:space="preserve">Managed </w:t>
      </w:r>
      <w:r>
        <w:rPr>
          <w:b/>
        </w:rPr>
        <w:t>MRR $101,701/mo</w:t>
      </w:r>
      <w:r>
        <w:t xml:space="preserve"> + </w:t>
      </w:r>
      <w:r>
        <w:rPr>
          <w:b/>
        </w:rPr>
        <w:t>ORR $35,286/mo</w:t>
      </w:r>
      <w:r>
        <w:t xml:space="preserve"> = </w:t>
      </w:r>
      <w:r>
        <w:rPr>
          <w:b/>
        </w:rPr>
        <w:t>$136,987/mo</w:t>
      </w:r>
      <w:r>
        <w:t xml:space="preserve"> total recurring, across </w:t>
      </w:r>
      <w:r>
        <w:rPr>
          <w:b/>
        </w:rPr>
        <w:t>13 clients</w:t>
      </w:r>
      <w:r>
        <w:t>.</w:t>
      </w:r>
    </w:p>
    <w:p>
      <w:pPr>
        <w:pStyle w:val="ListBullet"/>
      </w:pPr>
      <w:r>
        <w:rPr>
          <w:b/>
        </w:rPr>
        <w:t>NRR</w:t>
      </w:r>
      <w:r>
        <w:t xml:space="preserve"> (project / professional-services labor — </w:t>
      </w:r>
      <w:r>
        <w:rPr>
          <w:b/>
        </w:rPr>
        <w:t>excludes product sales</w:t>
      </w:r>
      <w:r>
        <w:t xml:space="preserve">) ≈ </w:t>
      </w:r>
      <w:r>
        <w:rPr>
          <w:b/>
        </w:rPr>
        <w:t>$0</w:t>
      </w:r>
      <w:r>
        <w:t xml:space="preserve">; target </w:t>
      </w:r>
      <w:r>
        <w:rPr>
          <w:b/>
        </w:rPr>
        <w:t>20–30% of MRR ≈ $20–30K/mo</w:t>
      </w:r>
      <w:r>
        <w:t>.</w:t>
      </w:r>
    </w:p>
    <w:p>
      <w:pPr>
        <w:pStyle w:val="ListBullet"/>
      </w:pPr>
      <w:r>
        <w:rPr>
          <w:b/>
        </w:rPr>
        <w:t>Net-new MRR added in 2026 = $0.</w:t>
      </w:r>
    </w:p>
    <w:p>
      <w:pPr>
        <w:pStyle w:val="ListBullet"/>
      </w:pPr>
      <w:r>
        <w:t xml:space="preserve">Pricing is </w:t>
      </w:r>
      <w:r>
        <w:rPr>
          <w:b/>
        </w:rPr>
        <w:t>healthy</w:t>
      </w:r>
      <w:r>
        <w:t xml:space="preserve"> (blended managed AISP </w:t>
      </w:r>
      <w:r>
        <w:rPr>
          <w:b/>
        </w:rPr>
        <w:t>$247/seat</w:t>
      </w:r>
      <w:r>
        <w:t xml:space="preserve">). The flat-MRR problem is a </w:t>
      </w:r>
      <w:r>
        <w:rPr>
          <w:b/>
        </w:rPr>
        <w:t>new-logo + concentration</w:t>
      </w:r>
      <w:r>
        <w:t xml:space="preserve"> problem (four New Albany accounts ≈ </w:t>
      </w:r>
      <w:r>
        <w:rPr>
          <w:b/>
        </w:rPr>
        <w:t>67% of MRR</w:t>
      </w:r>
      <w:r>
        <w:t xml:space="preserve">), </w:t>
      </w:r>
      <w:r>
        <w:rPr>
          <w:b/>
        </w:rPr>
        <w:t>not</w:t>
      </w:r>
      <w:r>
        <w:t xml:space="preserve"> underpricing.</w:t>
      </w:r>
    </w:p>
    <w:p>
      <w:pPr>
        <w:pStyle w:val="Heading1"/>
      </w:pPr>
      <w:r>
        <w:t>The Rocks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Rock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Owner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Due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Status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Finish the diagnostic sprint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Randy + Rodney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Aug 15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Partly done (3 of 7)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Restart the TBR / NRR engine + stand up the TAM</w:t>
            </w:r>
            <w:r>
              <w:rPr>
                <w:sz w:val="19"/>
              </w:rPr>
              <w:t xml:space="preserve"> </w:t>
            </w:r>
            <w:r>
              <w:rPr>
                <w:i/>
                <w:sz w:val="19"/>
              </w:rPr>
              <w:t>(#1 priority)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Rodney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Sep 30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On Track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Mission Control full cutover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Brandon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Aug 1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On Track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Instrument &amp; run the sales engine — NEW logos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Ric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Sep 30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On Track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LAND &amp; EXPAND — finish the 5 AI tools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Randy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Sep 30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On Track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Close out the pricing / small-account assessment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Rodney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Jul 31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Largely done</w:t>
            </w:r>
          </w:p>
        </w:tc>
      </w:tr>
    </w:tbl>
    <w:p/>
    <w:p>
      <w:pPr>
        <w:pStyle w:val="Heading1"/>
      </w:pPr>
      <w:r>
        <w:t>Rock 1 — Diagnostic sprint (detail)</w:t>
      </w:r>
    </w:p>
    <w:p>
      <w:r>
        <w:rPr>
          <w:b/>
        </w:rPr>
        <w:t>Done:</w:t>
      </w:r>
    </w:p>
    <w:p>
      <w:pPr>
        <w:pStyle w:val="ListBullet"/>
      </w:pPr>
      <w:r>
        <w:t xml:space="preserve">✅ </w:t>
      </w:r>
      <w:r>
        <w:rPr>
          <w:b/>
        </w:rPr>
        <w:t>AISP-conversion audit</w:t>
      </w:r>
      <w:r>
        <w:t xml:space="preserve"> — live from AutoTask (13 clients, per-client MRR/seats/AISP).</w:t>
      </w:r>
    </w:p>
    <w:p>
      <w:pPr>
        <w:pStyle w:val="ListBullet"/>
      </w:pPr>
      <w:r>
        <w:t xml:space="preserve">✅ </w:t>
      </w:r>
      <w:r>
        <w:rPr>
          <w:b/>
        </w:rPr>
        <w:t>Revenue-mix split</w:t>
      </w:r>
      <w:r>
        <w:t xml:space="preserve"> — MRR $101,701 vs ORR $35,286 (product sales tracked separately).</w:t>
      </w:r>
    </w:p>
    <w:p>
      <w:pPr>
        <w:pStyle w:val="ListBullet"/>
      </w:pPr>
      <w:r>
        <w:t xml:space="preserve">✅ </w:t>
      </w:r>
      <w:r>
        <w:rPr>
          <w:b/>
        </w:rPr>
        <w:t>NRR defined</w:t>
      </w:r>
      <w:r>
        <w:t xml:space="preserve"> — project / professional-services labor; </w:t>
      </w:r>
      <w:r>
        <w:rPr>
          <w:b/>
        </w:rPr>
        <w:t>does NOT include product sales</w:t>
      </w:r>
      <w:r>
        <w:t>.</w:t>
      </w:r>
    </w:p>
    <w:p>
      <w:r>
        <w:rPr>
          <w:b/>
        </w:rPr>
        <w:t>Remaining:</w:t>
      </w:r>
    </w:p>
    <w:p>
      <w:pPr>
        <w:pStyle w:val="ListBullet"/>
      </w:pPr>
      <w:r>
        <w:t xml:space="preserve">▢ </w:t>
      </w:r>
      <w:r>
        <w:rPr>
          <w:b/>
        </w:rPr>
        <w:t>BDM activity baseline</w:t>
      </w:r>
      <w:r>
        <w:t xml:space="preserve"> — actual dials / decision-maker conversations / FTAs vs. benchmark (are they dialing?).</w:t>
      </w:r>
    </w:p>
    <w:p>
      <w:pPr>
        <w:pStyle w:val="ListBullet"/>
      </w:pPr>
      <w:r>
        <w:t xml:space="preserve">▢ </w:t>
      </w:r>
      <w:r>
        <w:rPr>
          <w:b/>
        </w:rPr>
        <w:t>Turning-point calc</w:t>
      </w:r>
      <w:r>
        <w:t xml:space="preserve"> — MRR vs. all operating expenses (excluding product COGS): are we above or below?</w:t>
      </w:r>
    </w:p>
    <w:p>
      <w:pPr>
        <w:pStyle w:val="ListBullet"/>
      </w:pPr>
      <w:r>
        <w:t xml:space="preserve">▢ </w:t>
      </w:r>
      <w:r>
        <w:rPr>
          <w:b/>
        </w:rPr>
        <w:t>Unrealized-profitability calc</w:t>
      </w:r>
      <w:r>
        <w:t xml:space="preserve"> — (# employees × $150K) − annual MRR: how much profit is trapped in pricing/leverage.</w:t>
      </w:r>
    </w:p>
    <w:p>
      <w:pPr>
        <w:pStyle w:val="ListBullet"/>
      </w:pPr>
      <w:r>
        <w:t xml:space="preserve">▢ </w:t>
      </w:r>
      <w:r>
        <w:rPr>
          <w:b/>
        </w:rPr>
        <w:t>Quantify the NRR gap</w:t>
      </w:r>
      <w:r>
        <w:t xml:space="preserve"> — current ≈ $0 vs. target 20–30% of MRR ≈ $20–30K/mo.</w:t>
      </w:r>
    </w:p>
    <w:p>
      <w:pPr>
        <w:pStyle w:val="Heading1"/>
      </w:pPr>
      <w:r>
        <w:t xml:space="preserve">Rock 2 — TBR / NRR engine + TAM </w:t>
      </w:r>
      <w:r>
        <w:rPr>
          <w:i/>
        </w:rPr>
        <w:t>(the #1 priority)</w:t>
      </w:r>
    </w:p>
    <w:p>
      <w:r>
        <w:t xml:space="preserve">Done when: the </w:t>
      </w:r>
      <w:r>
        <w:rPr>
          <w:b/>
        </w:rPr>
        <w:t>TAM</w:t>
      </w:r>
      <w:r>
        <w:t xml:space="preserve"> is seated and feeding the vCIO; </w:t>
      </w:r>
      <w:r>
        <w:rPr>
          <w:b/>
        </w:rPr>
        <w:t>Technology Business Reviews</w:t>
      </w:r>
      <w:r>
        <w:t xml:space="preserve"> run on cadence (monthly for larger clients); and NRR is on a run-rate toward </w:t>
      </w:r>
      <w:r>
        <w:rPr>
          <w:b/>
        </w:rPr>
        <w:t>20–30% of MRR (~$20–30K/mo)</w:t>
      </w:r>
      <w:r>
        <w:t>. This is the single highest-leverage move — no TBRs is why NRR is $0.</w:t>
      </w:r>
    </w:p>
    <w:p>
      <w:pPr>
        <w:pStyle w:val="Heading1"/>
      </w:pPr>
      <w:r>
        <w:t>Rock 5 — LAND &amp; EXPAND: the 5 AI tools (Randy)</w:t>
      </w:r>
    </w:p>
    <w:p>
      <w:r>
        <w:rPr>
          <w:b/>
        </w:rPr>
        <w:t>LAND &amp; EXPAND</w:t>
      </w:r>
      <w:r>
        <w:t xml:space="preserve"> is our backdoor go-to-market: use free AI assessments to get a foot in the door at a prospect, convert them to a client, then move </w:t>
      </w:r>
      <w:r>
        <w:rPr>
          <w:b/>
        </w:rPr>
        <w:t>down the stack — vCISO-as-a-Service → Compliance-as-a-Service → MSSP → MSP.</w:t>
      </w:r>
      <w:r>
        <w:t xml:space="preserve"> It is the engine for new logos (Rock 4) and Securafy Digital Services. Done when all five are live:</w:t>
      </w:r>
    </w:p>
    <w:p>
      <w:pPr>
        <w:pStyle w:val="ListNumber"/>
      </w:pPr>
      <w:r>
        <w:rPr>
          <w:b/>
        </w:rPr>
        <w:t>BDR-initiated IT/Cybersecurity assessment</w:t>
      </w:r>
      <w:r>
        <w:t xml:space="preserve"> — BDR marks a HubSpot company+contact → auto-creates it in </w:t>
      </w:r>
      <w:r>
        <w:rPr>
          <w:b/>
        </w:rPr>
        <w:t>AutoTask</w:t>
      </w:r>
      <w:r>
        <w:t xml:space="preserve"> → creates the account in </w:t>
      </w:r>
      <w:r>
        <w:rPr>
          <w:b/>
        </w:rPr>
        <w:t>Datto RMM</w:t>
      </w:r>
      <w:r>
        <w:t xml:space="preserve"> → RMM agents auto-push to the client's systems → Datto pushes the </w:t>
      </w:r>
      <w:r>
        <w:rPr>
          <w:b/>
        </w:rPr>
        <w:t>RapidFire Tools</w:t>
      </w:r>
      <w:r>
        <w:t xml:space="preserve"> agent → scans start.</w:t>
      </w:r>
    </w:p>
    <w:p>
      <w:pPr>
        <w:pStyle w:val="ListNumber"/>
      </w:pPr>
      <w:r>
        <w:rPr>
          <w:b/>
        </w:rPr>
        <w:t>Domain Name Scan campaign (email security)</w:t>
      </w:r>
      <w:r>
        <w:t xml:space="preserve"> — HubSpot campaign using the </w:t>
      </w:r>
      <w:r>
        <w:rPr>
          <w:b/>
        </w:rPr>
        <w:t>Advanced Domain Name Scanner</w:t>
      </w:r>
      <w:r>
        <w:t>; email the report to prospects who fail or score ≤ 7, with a landing page for a free 30-min consult + a 12-month domain management &amp; monitoring offer.</w:t>
      </w:r>
    </w:p>
    <w:p>
      <w:pPr>
        <w:pStyle w:val="ListNumber"/>
      </w:pPr>
      <w:r>
        <w:rPr>
          <w:b/>
        </w:rPr>
        <w:t>Website report campaign</w:t>
      </w:r>
      <w:r>
        <w:t xml:space="preserve"> — AI scores SEO, AEO, Security, and Performance; anyone with a C/D/F in any category gets a full report + free-consult link + a discounted rewrite/monitor/manage offer.</w:t>
      </w:r>
    </w:p>
    <w:p>
      <w:pPr>
        <w:pStyle w:val="ListNumber"/>
      </w:pPr>
      <w:r>
        <w:rPr>
          <w:b/>
        </w:rPr>
        <w:t>SharePoint assessment campaign</w:t>
      </w:r>
      <w:r>
        <w:t xml:space="preserve"> — AI SharePoint report card, same report-card → consult → offer flow.</w:t>
      </w:r>
    </w:p>
    <w:p>
      <w:pPr>
        <w:pStyle w:val="ListNumber"/>
      </w:pPr>
      <w:r>
        <w:rPr>
          <w:b/>
        </w:rPr>
        <w:t>M365 SecureScore campaign</w:t>
      </w:r>
      <w:r>
        <w:t xml:space="preserve"> — AI SecureScore report card, same flow → appointment + opportunity.</w:t>
      </w:r>
    </w:p>
    <w:p>
      <w:pPr>
        <w:pStyle w:val="Heading1"/>
      </w:pPr>
      <w:r>
        <w:t>Rock 6 — Pricing / small-account assessment (findings — largely complete)</w:t>
      </w:r>
    </w:p>
    <w:p>
      <w:pPr>
        <w:pStyle w:val="ListBullet"/>
      </w:pPr>
      <w:r>
        <w:rPr>
          <w:b/>
        </w:rPr>
        <w:t>Pricing is healthy</w:t>
      </w:r>
      <w:r>
        <w:t xml:space="preserve"> — blended managed AISP </w:t>
      </w:r>
      <w:r>
        <w:rPr>
          <w:b/>
        </w:rPr>
        <w:t>$247/seat</w:t>
      </w:r>
      <w:r>
        <w:t xml:space="preserve"> (in the world-class $150–250 band). </w:t>
      </w:r>
      <w:r>
        <w:rPr>
          <w:b/>
        </w:rPr>
        <w:t>Not underpriced; no repricing needed.</w:t>
      </w:r>
    </w:p>
    <w:p>
      <w:pPr>
        <w:pStyle w:val="ListBullet"/>
      </w:pPr>
      <w:r>
        <w:t xml:space="preserve">The four sub-$1,800/mo accounts </w:t>
      </w:r>
      <w:r>
        <w:rPr>
          <w:b/>
        </w:rPr>
        <w:t>do not consume vCIO/TAM time</w:t>
      </w:r>
      <w:r>
        <w:t xml:space="preserve"> (by their own request).</w:t>
      </w:r>
    </w:p>
    <w:p>
      <w:pPr>
        <w:pStyle w:val="ListBullet"/>
      </w:pPr>
      <w:r>
        <w:rPr>
          <w:b/>
        </w:rPr>
        <w:t>Friendsville Sand, Supro Spring, and Walford</w:t>
      </w:r>
      <w:r>
        <w:t xml:space="preserve"> are </w:t>
      </w:r>
      <w:r>
        <w:rPr>
          <w:b/>
        </w:rPr>
        <w:t>owner-remnants of former LARGE clients</w:t>
      </w:r>
      <w:r>
        <w:t xml:space="preserve"> that closed or sold — the owners asked to keep their systems protected only. </w:t>
      </w:r>
      <w:r>
        <w:rPr>
          <w:b/>
        </w:rPr>
        <w:t>Not upgrade targets; leave as protection-only.</w:t>
      </w:r>
    </w:p>
    <w:p>
      <w:pPr>
        <w:pStyle w:val="ListBullet"/>
      </w:pPr>
      <w:r>
        <w:rPr>
          <w:b/>
        </w:rPr>
        <w:t>KASS Corporation</w:t>
      </w:r>
      <w:r>
        <w:t xml:space="preserve"> is the </w:t>
      </w:r>
      <w:r>
        <w:rPr>
          <w:b/>
        </w:rPr>
        <w:t>only</w:t>
      </w:r>
      <w:r>
        <w:t xml:space="preserve"> possible (small) upgrade candidate.</w:t>
      </w:r>
    </w:p>
    <w:p>
      <w:pPr>
        <w:pStyle w:val="ListBullet"/>
      </w:pPr>
      <w:r>
        <w:rPr>
          <w:b/>
        </w:rPr>
        <w:t>Action:</w:t>
      </w:r>
      <w:r>
        <w:t xml:space="preserve"> no repricing; monitor KASS; leave the remnants as-is. → Rock effectively complete.</w:t>
      </w:r>
    </w:p>
    <w:p>
      <w:pPr>
        <w:pStyle w:val="Heading1"/>
      </w:pPr>
      <w:r>
        <w:t>Compliance tasks (tracked, not Rocks) — vCISO / Rodney</w:t>
      </w:r>
    </w:p>
    <w:p>
      <w:pPr>
        <w:pStyle w:val="ListBullet"/>
      </w:pPr>
      <w:r>
        <w:rPr>
          <w:b/>
        </w:rPr>
        <w:t>FIPS 140-3 migration</w:t>
      </w:r>
      <w:r>
        <w:t xml:space="preserve"> before </w:t>
      </w:r>
      <w:r>
        <w:rPr>
          <w:b/>
        </w:rPr>
        <w:t>Sep 21, 2026</w:t>
      </w:r>
      <w:r>
        <w:t xml:space="preserve"> (CJIS). • </w:t>
      </w:r>
      <w:r>
        <w:rPr>
          <w:b/>
        </w:rPr>
        <w:t>CMMC client scoping</w:t>
      </w:r>
      <w:r>
        <w:t xml:space="preserve"> ahead of the Nov 10, 2026 Phase-2 date.</w:t>
      </w:r>
    </w:p>
    <w:p>
      <w:pPr>
        <w:pStyle w:val="Heading1"/>
      </w:pPr>
      <w:r>
        <w:t>The MRR math to manage</w:t>
      </w:r>
    </w:p>
    <w:p>
      <w:r>
        <w:rPr>
          <w:b/>
        </w:rPr>
        <w:t>New MRR = FTAs × Close Ratio × Average MRR</w:t>
      </w:r>
      <w:r>
        <w:t xml:space="preserve"> — targets: 15–20% close · $3,500 avg MRR · ~2 FTAs/week per rep. Track weekly: FTAs, close ratio, avg MRR of closed deals, pipeline (30-day / 31–60-day), net-new MRR, NRR as % of MRR.</w:t>
      </w:r>
    </w:p>
    <w:p>
      <w:pPr>
        <w:pStyle w:val="Heading1"/>
      </w:pPr>
      <w:r>
        <w:t>Leadership team &amp; seats</w:t>
      </w:r>
    </w:p>
    <w:p>
      <w:pPr>
        <w:pStyle w:val="ListBullet"/>
      </w:pPr>
      <w:r>
        <w:rPr>
          <w:b/>
        </w:rPr>
        <w:t>Randy</w:t>
      </w:r>
      <w:r>
        <w:t xml:space="preserve"> — Visionary / CEO + head of Securafy Digital Services (LAND &amp; EXPAND)</w:t>
      </w:r>
    </w:p>
    <w:p>
      <w:pPr>
        <w:pStyle w:val="ListBullet"/>
      </w:pPr>
      <w:r>
        <w:rPr>
          <w:b/>
        </w:rPr>
        <w:t>Rodney</w:t>
      </w:r>
      <w:r>
        <w:t xml:space="preserve"> — Integrator / COO + vCIO/vCISO (transitioning as revenue funds the split)</w:t>
      </w:r>
    </w:p>
    <w:p>
      <w:pPr>
        <w:pStyle w:val="ListBullet"/>
      </w:pPr>
      <w:r>
        <w:rPr>
          <w:b/>
        </w:rPr>
        <w:t>Ric</w:t>
      </w:r>
      <w:r>
        <w:t xml:space="preserve"> — CRO · </w:t>
      </w:r>
      <w:r>
        <w:rPr>
          <w:b/>
        </w:rPr>
        <w:t>Jillian</w:t>
      </w:r>
      <w:r>
        <w:t xml:space="preserve"> — CMO · </w:t>
      </w:r>
      <w:r>
        <w:rPr>
          <w:b/>
        </w:rPr>
        <w:t>Brandon</w:t>
      </w:r>
      <w:r>
        <w:t xml:space="preserve"> — Support Desk Mgr · </w:t>
      </w:r>
      <w:r>
        <w:rPr>
          <w:b/>
        </w:rPr>
        <w:t>Reyes</w:t>
      </w:r>
      <w:r>
        <w:t xml:space="preserve"> — Centralized Services / SharePoint lead</w:t>
      </w:r>
    </w:p>
    <w:p>
      <w:pPr>
        <w:pStyle w:val="Heading1"/>
      </w:pPr>
      <w:r>
        <w:t>L10 discipline</w:t>
      </w:r>
    </w:p>
    <w:p>
      <w:r>
        <w:t>Rocks reviewed weekly — On Track / Off Track (binary). Off-Track → IDS. Quarter-end: Done / Not Done, 90% completion standard.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SECURAFY — Q3 2026 COMPANY ROCKS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