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4" w:space="4" w:color="1C9EDC"/>
        </w:pBdr>
      </w:pPr>
      <w:r>
        <w:t>Securafy 4-Year Hiring &amp; Certification Timeline</w:t>
      </w:r>
    </w:p>
    <w:p>
      <w:r>
        <w:rPr>
          <w:b/>
        </w:rPr>
        <w:t>The revenue-gated roadmap from $2M to $10M · 2026 → 2030</w:t>
      </w:r>
    </w:p>
    <w:p>
      <w:r>
        <w:rPr>
          <w:b/>
        </w:rPr>
        <w:t>Prepared July 2026 · EOS-aligned (4-Year Target → Annual Plans → Quarterly Rocks)</w:t>
      </w:r>
    </w:p>
    <w:p>
      <w:pPr>
        <w:pStyle w:val="Heading1"/>
      </w:pPr>
      <w:r>
        <w:t>The core logic: revenue-gated and self-funding</w:t>
      </w:r>
    </w:p>
    <w:p>
      <w:r>
        <w:t xml:space="preserve">The constraint on Securafy's growth is </w:t>
      </w:r>
      <w:r>
        <w:rPr>
          <w:b/>
        </w:rPr>
        <w:t>revenue, not capacity</w:t>
      </w:r>
      <w:r>
        <w:t xml:space="preserve"> — Securafy can add ~1,000 managed seats per year without strain. That means this roadmap is not "hire people and add clients." It is a </w:t>
      </w:r>
      <w:r>
        <w:rPr>
          <w:b/>
        </w:rPr>
        <w:t>self-funding sequence</w:t>
      </w:r>
      <w:r>
        <w:t xml:space="preserve">: the seats that </w:t>
      </w:r>
      <w:r>
        <w:rPr>
          <w:i/>
        </w:rPr>
        <w:t>generate</w:t>
      </w:r>
      <w:r>
        <w:t xml:space="preserve"> revenue are stood up first, and the non-recurring revenue (NRR) and protected renewals they produce fund the next wave of hires and certifications.</w:t>
      </w:r>
    </w:p>
    <w:p>
      <w:r>
        <w:t xml:space="preserve">The whole plan pivots on one move: </w:t>
      </w:r>
      <w:r>
        <w:rPr>
          <w:b/>
        </w:rPr>
        <w:t>offload Rodney.</w:t>
      </w:r>
      <w:r>
        <w:t xml:space="preserve"> Today Rodney is the Integrator </w:t>
      </w:r>
      <w:r>
        <w:rPr>
          <w:i/>
        </w:rPr>
        <w:t>and</w:t>
      </w:r>
      <w:r>
        <w:t xml:space="preserve"> the vCIO </w:t>
      </w:r>
      <w:r>
        <w:rPr>
          <w:i/>
        </w:rPr>
        <w:t>and</w:t>
      </w:r>
      <w:r>
        <w:t xml:space="preserve"> the vCISO </w:t>
      </w:r>
      <w:r>
        <w:rPr>
          <w:i/>
        </w:rPr>
        <w:t>and</w:t>
      </w:r>
      <w:r>
        <w:t xml:space="preserve"> absorbs reactive work — so the revenue engine (the Technology Business Reviews) never runs. Free that seat, restart the TBRs, and the revenue that follows pays for everything downstream.</w:t>
      </w:r>
    </w:p>
    <w:p>
      <w:r>
        <w:rPr>
          <w:b/>
        </w:rPr>
        <w:t>The self-funding chain:</w:t>
      </w:r>
    </w:p>
    <w:p>
      <w:r>
        <w:t xml:space="preserve">Stand up TAM + Mission Control (offload Rodney) → Rodney runs TBRs → </w:t>
      </w:r>
      <w:r>
        <w:rPr>
          <w:b/>
        </w:rPr>
        <w:t>TBRs drive NRR + renewals</w:t>
      </w:r>
      <w:r>
        <w:t xml:space="preserve"> → revenue funds Design Desk + Centralized Services + certs → compliance/MSSP + new service lines → revenue funds delivery pods → $10M.</w:t>
      </w:r>
    </w:p>
    <w:p>
      <w:pPr>
        <w:spacing w:before="120" w:after="160"/>
        <w:ind w:left="173"/>
        <w:shd w:val="clear" w:color="auto" w:fill="F2F6FB"/>
        <w:pBdr>
          <w:left w:val="single" w:sz="18" w:space="4" w:color="1C9EDC"/>
        </w:pBdr>
      </w:pPr>
      <w:r>
        <w:rPr>
          <w:b/>
          <w:sz w:val="20"/>
        </w:rPr>
        <w:t>Revenue is now modeled in two divisional P&amp;Ls</w:t>
      </w:r>
      <w:r>
        <w:rPr>
          <w:sz w:val="20"/>
        </w:rPr>
        <w:t xml:space="preserve"> (</w:t>
      </w:r>
      <w:r>
        <w:rPr>
          <w:rFonts w:ascii="Consolas" w:hAnsi="Consolas"/>
          <w:color w:val="2B4A80"/>
          <w:sz w:val="20"/>
        </w:rPr>
        <w:t>04-financial-model.xlsx</w:t>
      </w:r>
      <w:r>
        <w:rPr>
          <w:sz w:val="20"/>
        </w:rPr>
        <w:t>): Core MSP/MSSP anchored on your PLANNED model ($2.30M → $5.73M, 2026–28, extended to 2030) and Securafy Digital Services layered on top, rolling up to the $10M target. The Core MSP plan is aggressive — it assumes +$10–15K/mo net-new MRR (vs. current actual &lt;$6K) and no churn — so stress-test it with lower growth.</w:t>
      </w:r>
    </w:p>
    <w:p>
      <w:pPr>
        <w:pStyle w:val="Heading1"/>
      </w:pPr>
      <w:r>
        <w:t>4-Year Target (2030)</w:t>
      </w:r>
    </w:p>
    <w:p>
      <w:pPr>
        <w:pStyle w:val="ListBullet"/>
      </w:pPr>
      <w:r>
        <w:rPr>
          <w:b/>
        </w:rPr>
        <w:t>~$10M revenue</w:t>
      </w:r>
      <w:r>
        <w:t>, up from ~$2M — a healthier mix of MRR, NRR (target 20–30% of MRR), and compliance/MSSP premium.</w:t>
      </w:r>
    </w:p>
    <w:p>
      <w:pPr>
        <w:pStyle w:val="ListBullet"/>
      </w:pPr>
      <w:r>
        <w:t xml:space="preserve">Full target Accountability Chart staffed: Rodney is a </w:t>
      </w:r>
      <w:r>
        <w:rPr>
          <w:b/>
        </w:rPr>
        <w:t>pure Integrator</w:t>
      </w:r>
      <w:r>
        <w:t xml:space="preserve">; vCIO and vCISO are </w:t>
      </w:r>
      <w:r>
        <w:rPr>
          <w:b/>
        </w:rPr>
        <w:t>separate seats</w:t>
      </w:r>
      <w:r>
        <w:t>; multiple vCIO+TAM delivery pods; Finance/Admin off Randy's plate.</w:t>
      </w:r>
    </w:p>
    <w:p>
      <w:pPr>
        <w:pStyle w:val="ListBullet"/>
      </w:pPr>
      <w:r>
        <w:t>Five service lines live (AIaaS, SharePoint-aaS, Website-aaS, AI University, core MSP/MSSP) and three vertical campaigns producing (Chamber, CJIS, Healthcare).</w:t>
      </w:r>
    </w:p>
    <w:p>
      <w:pPr>
        <w:pStyle w:val="ListBullet"/>
      </w:pPr>
      <w:r>
        <w:t>Securafy positioned as a compliance-forward MSSP: CMMC RPO, CJIS-capable, HIPAA-aligned.</w:t>
      </w:r>
    </w:p>
    <w:p>
      <w:pPr>
        <w:pStyle w:val="Heading1"/>
      </w:pPr>
      <w:r>
        <w:t>Near-term Rocks — Q3 2026 (now, Jul–Sep)</w:t>
      </w:r>
    </w:p>
    <w:p>
      <w:r>
        <w:t>These are the 90-day priorities. Everything else waits behind them.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Rock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Owner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Done when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#1 — Restart the TBR engine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Rodney (vCIO)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TBRs scheduled a year out; monthly TBRs running for larger clients; roadmap+budget produced per client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Mission Control full cutover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Brandon (Support Desk Mgr)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All Tier 1/2 support on the vendor by </w:t>
            </w:r>
            <w:r>
              <w:rPr>
                <w:b/>
                <w:sz w:val="19"/>
              </w:rPr>
              <w:t>Aug 1</w:t>
            </w:r>
            <w:r>
              <w:rPr>
                <w:sz w:val="19"/>
              </w:rPr>
              <w:t>; SLA scorecard live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Stand up the TAM seat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Rodney → COO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TAM hired/assigned and running alignment reviews that feed the vCIO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FIPS 140-3 migration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vCISO / L4 engineer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All CJIS-path crypto on FIPS 140-3 </w:t>
            </w:r>
            <w:r>
              <w:rPr>
                <w:b/>
                <w:sz w:val="19"/>
              </w:rPr>
              <w:t>before Sep 21, 2026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Scope the CMMC client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Rodney (vCISO)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Existing CMMC client assigned; 800-171 Rev 2 gap + POA&amp;M documented (ahead of Nov 10, 2026)</w:t>
            </w:r>
          </w:p>
        </w:tc>
      </w:tr>
    </w:tbl>
    <w:p/>
    <w:p>
      <w:pPr>
        <w:pStyle w:val="Heading1"/>
      </w:pPr>
      <w:r>
        <w:t>Year-by-year roadmap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Year (illustrative rev.)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Seats to fill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Certifications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Service lines / campaigns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Compliance milestones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Year 1 — H2'26–H1'27 (~$2.0→$3.0M)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TAM; Support Desk Mgr (Brandon); Design Desk </w:t>
            </w:r>
            <w:r>
              <w:rPr>
                <w:i/>
                <w:sz w:val="19"/>
              </w:rPr>
              <w:t>(Centralized Services already filled — Reyes)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Rodney earns </w:t>
            </w:r>
            <w:r>
              <w:rPr>
                <w:b/>
                <w:sz w:val="19"/>
              </w:rPr>
              <w:t>CISM + CISSP</w:t>
            </w:r>
            <w:r>
              <w:rPr>
                <w:sz w:val="19"/>
              </w:rPr>
              <w:t xml:space="preserve">; CMMC </w:t>
            </w:r>
            <w:r>
              <w:rPr>
                <w:b/>
                <w:sz w:val="19"/>
              </w:rPr>
              <w:t>RPO</w:t>
            </w:r>
            <w:r>
              <w:rPr>
                <w:sz w:val="19"/>
              </w:rPr>
              <w:t xml:space="preserve"> registration + </w:t>
            </w:r>
            <w:r>
              <w:rPr>
                <w:b/>
                <w:sz w:val="19"/>
              </w:rPr>
              <w:t>RP</w:t>
            </w:r>
            <w:r>
              <w:rPr>
                <w:sz w:val="19"/>
              </w:rPr>
              <w:t>; Reyes M365 Enterprise Admin Expert confirmed (SharePoint ready), AIaaS needs AI-102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Restart NRR (Design Desk); SharePoint-aaS launch </w:t>
            </w:r>
            <w:r>
              <w:rPr>
                <w:b/>
                <w:sz w:val="19"/>
              </w:rPr>
              <w:t>(Reyes — cert-ready)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FIPS 140-3; CMMC client POA&amp;M; CJIS baseline; </w:t>
            </w:r>
            <w:r>
              <w:rPr>
                <w:b/>
                <w:sz w:val="19"/>
              </w:rPr>
              <w:t>design the offshore access boundary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Year 2 — '27–'28 (~$3.0→$4.5M)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2nd vCIO+TAM pair; Finance/Admin (offload Randy)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CCP</w:t>
            </w:r>
            <w:r>
              <w:rPr>
                <w:sz w:val="19"/>
              </w:rPr>
              <w:t xml:space="preserve"> (CMMC, via ISACA); TAM CompTIA (Security+/Network+); </w:t>
            </w:r>
            <w:r>
              <w:rPr>
                <w:b/>
                <w:sz w:val="19"/>
              </w:rPr>
              <w:t>MS-102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AIaaS launch + AI University live; Healthcare (HIPAA) campaign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Pursue Securafy's </w:t>
            </w:r>
            <w:r>
              <w:rPr>
                <w:b/>
                <w:sz w:val="19"/>
              </w:rPr>
              <w:t>own CMMC L2</w:t>
            </w:r>
            <w:r>
              <w:rPr>
                <w:sz w:val="19"/>
              </w:rPr>
              <w:t>; CMMC Phase 2 (Nov'26) client certs; HIPAA-aligned offering + BAAs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Year 3 — '28–'29 (~$4.5→$6.7M)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Service Delivery Manager (offload Rodney from Ops); 3rd delivery pod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Split vCIO / vCISO</w:t>
            </w:r>
            <w:r>
              <w:rPr>
                <w:sz w:val="19"/>
              </w:rPr>
              <w:t xml:space="preserve"> into separate seats; CRISC/CISA; </w:t>
            </w:r>
            <w:r>
              <w:rPr>
                <w:b/>
                <w:sz w:val="19"/>
              </w:rPr>
              <w:t>CHPS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Website-aaS at scale; CJIS government wins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HITRUST if Healthcare scales; CJIS P2–P4 (auditable Oct'27)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Year 4 — '29–'30 (~$6.7→$10M)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Fill remaining target-chart seats; service-line owners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Depth/renewals across the cert portfolio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All five lines mature; three campaigns producing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Sustained multi-framework compliance practice</w:t>
            </w:r>
          </w:p>
        </w:tc>
      </w:tr>
    </w:tbl>
    <w:p/>
    <w:p>
      <w:pPr>
        <w:pStyle w:val="Heading1"/>
      </w:pPr>
      <w:r>
        <w:t>Certification acquisition schedule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Cert / capability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Who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Target window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CISM, CISSP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Rodney (vCISO)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Year 1 (P0)</w:t>
            </w:r>
            <w:r>
              <w:rPr>
                <w:sz w:val="19"/>
              </w:rPr>
              <w:t xml:space="preserve"> — after offload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CMMC RPO + RP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Securafy / Rodney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Year 1 (P0)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FIPS 140-3, CJIS baseline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vCISO / L4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Year 1 (P0)</w:t>
            </w:r>
            <w:r>
              <w:rPr>
                <w:sz w:val="19"/>
              </w:rPr>
              <w:t xml:space="preserve"> — FIPS before Sep 21, 2026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CCP (CMMC, ISACA)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Rodney / engineer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Year 2 (P1)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Securafy own CMMC Level 2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Securafy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Year 2 (P1) — ahead of broad Phase 2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MS-102 (SharePoint-aaS)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Design/CS engineer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Year 2 (P1)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CompTIA Security+/Network+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TAM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Year 2 (P1)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Azure AI-102 (AIaaS)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Engineer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Year 3 (P2)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CHPS, CRISC/CISA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vCISO track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Year 3 (P2)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HITRUST (if Healthcare scales)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Securafy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Year 3–4 (P2)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CASP+/PenTest+ depth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L4 engineers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Year 3–4 (P2)</w:t>
            </w:r>
          </w:p>
        </w:tc>
      </w:tr>
    </w:tbl>
    <w:p/>
    <w:p>
      <w:pPr>
        <w:pStyle w:val="Heading1"/>
      </w:pPr>
      <w:r>
        <w:t>Service-line launch sequence (revenue-first)</w:t>
      </w:r>
    </w:p>
    <w:p>
      <w:pPr>
        <w:pStyle w:val="ListNumber"/>
      </w:pPr>
      <w:r>
        <w:rPr>
          <w:b/>
        </w:rPr>
        <w:t>Core MSP/MSSP + TBR-driven NRR</w:t>
      </w:r>
      <w:r>
        <w:t xml:space="preserve"> — Year 1. Immediate revenue from the restarted engine; no new build.</w:t>
      </w:r>
    </w:p>
    <w:p>
      <w:pPr>
        <w:pStyle w:val="ListNumber"/>
      </w:pPr>
      <w:r>
        <w:rPr>
          <w:b/>
        </w:rPr>
        <w:t>SharePoint-aaS</w:t>
      </w:r>
      <w:r>
        <w:t xml:space="preserve"> — Year 1–2. Clearest cert path (MS-102), fastest to monetize.</w:t>
      </w:r>
    </w:p>
    <w:p>
      <w:pPr>
        <w:pStyle w:val="ListNumber"/>
      </w:pPr>
      <w:r>
        <w:rPr>
          <w:b/>
        </w:rPr>
        <w:t>AI as a Service + AI University</w:t>
      </w:r>
      <w:r>
        <w:t xml:space="preserve"> — Year 2. AI University doubles as marketing (Jillian) and a lead engine.</w:t>
      </w:r>
    </w:p>
    <w:p>
      <w:pPr>
        <w:pStyle w:val="ListNumber"/>
      </w:pPr>
      <w:r>
        <w:rPr>
          <w:b/>
        </w:rPr>
        <w:t>CMMC/CJIS/HIPAA compliance services</w:t>
      </w:r>
      <w:r>
        <w:t xml:space="preserve"> — Year 2–3. Highest-margin premium; rides the campaigns and the regulatory deadlines.</w:t>
      </w:r>
    </w:p>
    <w:p>
      <w:pPr>
        <w:pStyle w:val="ListNumber"/>
      </w:pPr>
      <w:r>
        <w:rPr>
          <w:b/>
        </w:rPr>
        <w:t>Website-as-a-Service</w:t>
      </w:r>
      <w:r>
        <w:t xml:space="preserve"> — Year 2–3. Competency-based; scales with the AI tooling.</w:t>
      </w:r>
    </w:p>
    <w:p>
      <w:pPr>
        <w:pStyle w:val="Heading1"/>
      </w:pPr>
      <w:r>
        <w:t>Critical path &amp; dependencies</w:t>
      </w:r>
    </w:p>
    <w:p>
      <w:pPr>
        <w:pStyle w:val="ListBullet"/>
      </w:pPr>
      <w:r>
        <w:rPr>
          <w:b/>
        </w:rPr>
        <w:t>Everything depends on offloading Rodney first.</w:t>
      </w:r>
      <w:r>
        <w:t xml:space="preserve"> Until the TAM seat and the Mission Control cutover remove reactive load, Rodney cannot run TBRs </w:t>
      </w:r>
      <w:r>
        <w:rPr>
          <w:i/>
        </w:rPr>
        <w:t>or</w:t>
      </w:r>
      <w:r>
        <w:t xml:space="preserve"> study for CISM/CISSP — so both revenue and the compliance practice stall. This is the single highest-leverage sequence in the plan.</w:t>
      </w:r>
    </w:p>
    <w:p>
      <w:pPr>
        <w:pStyle w:val="ListBullet"/>
      </w:pPr>
      <w:r>
        <w:rPr>
          <w:b/>
        </w:rPr>
        <w:t>TBRs are the revenue engine.</w:t>
      </w:r>
      <w:r>
        <w:t xml:space="preserve"> NRR and renewals from TBRs fund Design Desk and Centralized Services, which in turn increase capacity and NRR — a reinforcing loop.</w:t>
      </w:r>
    </w:p>
    <w:p>
      <w:pPr>
        <w:pStyle w:val="ListBullet"/>
      </w:pPr>
      <w:r>
        <w:rPr>
          <w:b/>
        </w:rPr>
        <w:t>The CMMC clock is external and fixed.</w:t>
      </w:r>
      <w:r>
        <w:t xml:space="preserve"> The existing CMMC client and the Nov 10, 2026 Phase-2 date don't wait for the org to be ready — the CMMC scoping Rock is Q3 2026 regardless of the rest of the ramp.</w:t>
      </w:r>
    </w:p>
    <w:p>
      <w:pPr>
        <w:pStyle w:val="ListBullet"/>
      </w:pPr>
      <w:r>
        <w:rPr>
          <w:b/>
        </w:rPr>
        <w:t>The offshore access boundary is a prerequisite for the CJIS/CMMC campaigns.</w:t>
      </w:r>
      <w:r>
        <w:t xml:space="preserve"> Reyes (Centralized Services) and any offshore/outsourced staff must be walled off from regulated clients, with a US-staffed delivery lane for CJIS/CMMC accounts. </w:t>
      </w:r>
      <w:r>
        <w:rPr>
          <w:b/>
        </w:rPr>
        <w:t>Mission Control has confirmed it can supply the US-based, background-checked help-desk staff for that lane</w:t>
      </w:r>
      <w:r>
        <w:t xml:space="preserve"> (they still need the CJIS Security Addendum + awareness training). Design this control </w:t>
      </w:r>
      <w:r>
        <w:rPr>
          <w:i/>
        </w:rPr>
        <w:t>before</w:t>
      </w:r>
      <w:r>
        <w:t xml:space="preserve"> scaling regulated clients — it is an audit-failing item if bolted on late.</w:t>
      </w:r>
    </w:p>
    <w:p>
      <w:pPr>
        <w:pStyle w:val="ListBullet"/>
      </w:pPr>
      <w:r>
        <w:rPr>
          <w:b/>
        </w:rPr>
        <w:t>Certs gate the premium revenue.</w:t>
      </w:r>
      <w:r>
        <w:t xml:space="preserve"> CISM/CISSP + CMMC RPO/CCP are prerequisites to sell the compliance services that carry the best margin — so they're front-loaded into Years 1–2.</w:t>
      </w:r>
    </w:p>
    <w:p>
      <w:pPr>
        <w:pStyle w:val="Heading1"/>
      </w:pPr>
      <w:r>
        <w:t>Risks &amp; assumptions</w:t>
      </w:r>
    </w:p>
    <w:p>
      <w:pPr>
        <w:pStyle w:val="ListBullet"/>
      </w:pPr>
      <w:r>
        <w:rPr>
          <w:b/>
        </w:rPr>
        <w:t>Revenue-gated (primary risk):</w:t>
      </w:r>
      <w:r>
        <w:t xml:space="preserve"> if revenue lags, hiring slows. Mitigation — the sequence front-loads </w:t>
      </w:r>
      <w:r>
        <w:rPr>
          <w:i/>
        </w:rPr>
        <w:t>revenue-generating</w:t>
      </w:r>
      <w:r>
        <w:t xml:space="preserve"> seats (vCIO/TAM/Design Desk) so the plan funds itself; discretionary hires (2nd pods, SDM) flex with actual revenue.</w:t>
      </w:r>
    </w:p>
    <w:p>
      <w:pPr>
        <w:pStyle w:val="ListBullet"/>
      </w:pPr>
      <w:r>
        <w:rPr>
          <w:b/>
        </w:rPr>
        <w:t>Key-person dependency on Rodney:</w:t>
      </w:r>
      <w:r>
        <w:t xml:space="preserve"> he holds vCIO + vCISO to start. Mitigation — document each role separately (done), split the seats in Year 3, and cross-train.</w:t>
      </w:r>
    </w:p>
    <w:p>
      <w:pPr>
        <w:pStyle w:val="ListBullet"/>
      </w:pPr>
      <w:r>
        <w:rPr>
          <w:b/>
        </w:rPr>
        <w:t>Rodney's bandwidth for certs</w:t>
      </w:r>
      <w:r>
        <w:t xml:space="preserve"> while transitioning — mitigation: offload is Rock #1.</w:t>
      </w:r>
    </w:p>
    <w:p>
      <w:pPr>
        <w:pStyle w:val="ListBullet"/>
      </w:pPr>
      <w:r>
        <w:rPr>
          <w:b/>
        </w:rPr>
        <w:t>Compliance deadlines are external</w:t>
      </w:r>
      <w:r>
        <w:t xml:space="preserve"> (FIPS Sep'26, CMMC Phase 2 Nov'26, CJIS Oct'27) — tracked as fixed dates, not flexible milestones.</w:t>
      </w:r>
    </w:p>
    <w:p>
      <w:pPr>
        <w:pStyle w:val="ListBullet"/>
      </w:pPr>
      <w:r>
        <w:rPr>
          <w:b/>
        </w:rPr>
        <w:t>The Core MSP plan is aggressive</w:t>
      </w:r>
      <w:r>
        <w:t xml:space="preserve"> — +$10–15K/mo net-new MRR (vs. current &lt;$6K) and no churn. If the MSP underperforms, Securafy Digital Services must carry a larger share of the $10M — stress-test both divisions in </w:t>
      </w:r>
      <w:r>
        <w:rPr>
          <w:rFonts w:ascii="Consolas" w:hAnsi="Consolas"/>
          <w:color w:val="2B4A80"/>
          <w:sz w:val="19"/>
        </w:rPr>
        <w:t>04-financial-model.xlsx</w:t>
      </w:r>
      <w:r>
        <w:t>.</w:t>
      </w:r>
    </w:p>
    <w:p>
      <w:pPr>
        <w:pStyle w:val="ListBullet"/>
      </w:pPr>
      <w:r>
        <w:rPr>
          <w:b/>
        </w:rPr>
        <w:t>Current cert holders unconfirmed</w:t>
      </w:r>
      <w:r>
        <w:t xml:space="preserve"> — if staff already hold any P0/P1 certs, several items accelerate.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152" w:left="1296" w:header="50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648" w:val="right"/>
      </w:tabs>
      <w:pBdr>
        <w:top w:val="single" w:sz="6" w:space="4" w:color="D6DCE5"/>
      </w:pBdr>
    </w:pPr>
    <w:r>
      <w:rPr>
        <w:color w:val="6B7684"/>
        <w:sz w:val="16"/>
      </w:rPr>
      <w:t>Securafy Inc.  ·  Confidential</w:t>
    </w:r>
    <w:r>
      <w:rPr>
        <w:color w:val="6B7684"/>
        <w:sz w:val="16"/>
      </w:rPr>
      <w:tab/>
      <w:t xml:space="preserve">Page </w:t>
    </w:r>
    <w:r>
      <w:rPr>
        <w:color w:val="6B7684"/>
        <w:sz w:val="16"/>
      </w:rPr>
      <w:fldChar w:fldCharType="begin"/>
    </w:r>
    <w:r>
      <w:rPr>
        <w:color w:val="6B7684"/>
        <w:sz w:val="16"/>
      </w:rPr>
      <w:instrText xml:space="preserve">PAGE</w:instrText>
    </w:r>
    <w:r>
      <w:rPr>
        <w:color w:val="6B7684"/>
        <w:sz w:val="16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48" w:val="right"/>
      </w:tabs>
      <w:spacing w:after="80"/>
      <w:jc w:val="left"/>
      <w:pBdr>
        <w:bottom w:val="single" w:sz="12" w:space="4" w:color="1F3864"/>
      </w:pBdr>
    </w:pPr>
    <w:r>
      <w:drawing>
        <wp:inline xmlns:a="http://schemas.openxmlformats.org/drawingml/2006/main" xmlns:pic="http://schemas.openxmlformats.org/drawingml/2006/picture">
          <wp:extent cx="1371600" cy="37106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curafy Logo on White 200x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1061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6B7684"/>
        <w:sz w:val="15"/>
      </w:rPr>
      <w:tab/>
      <w:t>SECURAFY 4-YEAR HIRING &amp; CERTIFICATION TIMELINE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4" w:lineRule="auto"/>
    </w:pPr>
    <w:rPr>
      <w:rFonts w:ascii="Calibri" w:hAnsi="Calibri"/>
      <w:color w:val="1620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